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3AB2A">
      <w:pPr>
        <w:keepNext w:val="0"/>
        <w:keepLines w:val="0"/>
        <w:pageBreakBefore w:val="0"/>
        <w:widowControl w:val="0"/>
        <w:kinsoku/>
        <w:wordWrap/>
        <w:overflowPunct/>
        <w:topLinePunct w:val="0"/>
        <w:autoSpaceDE/>
        <w:autoSpaceDN/>
        <w:bidi w:val="0"/>
        <w:adjustRightInd/>
        <w:snapToGrid/>
        <w:spacing w:line="520" w:lineRule="exact"/>
        <w:ind w:left="0" w:right="0" w:firstLine="0"/>
        <w:jc w:val="center"/>
        <w:textAlignment w:val="auto"/>
        <w:outlineLvl w:val="9"/>
        <w:rPr>
          <w:rFonts w:hint="eastAsia" w:ascii="仿宋" w:hAnsi="仿宋" w:eastAsia="仿宋" w:cs="仿宋"/>
          <w:b/>
          <w:sz w:val="24"/>
          <w:szCs w:val="24"/>
          <w:lang w:val="en-US" w:eastAsia="zh-CN"/>
        </w:rPr>
      </w:pPr>
      <w:bookmarkStart w:id="0" w:name="_Toc22151"/>
      <w:bookmarkStart w:id="1" w:name="_Toc10723"/>
    </w:p>
    <w:p w14:paraId="57DAFDA4">
      <w:pPr>
        <w:pStyle w:val="24"/>
        <w:pageBreakBefore w:val="0"/>
        <w:kinsoku/>
        <w:wordWrap/>
        <w:overflowPunct/>
        <w:topLinePunct w:val="0"/>
        <w:autoSpaceDE/>
        <w:autoSpaceDN/>
        <w:bidi w:val="0"/>
        <w:spacing w:line="520" w:lineRule="exact"/>
        <w:textAlignment w:val="auto"/>
        <w:rPr>
          <w:rFonts w:hint="eastAsia" w:ascii="仿宋" w:hAnsi="仿宋" w:eastAsia="仿宋" w:cs="仿宋"/>
          <w:b/>
          <w:sz w:val="24"/>
          <w:szCs w:val="24"/>
          <w:lang w:val="en-US" w:eastAsia="zh-CN"/>
        </w:rPr>
      </w:pPr>
    </w:p>
    <w:p w14:paraId="3EDC9FD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黑体" w:eastAsia="方正小标宋简体" w:cs="Times New Roman"/>
          <w:b/>
          <w:sz w:val="44"/>
          <w:szCs w:val="44"/>
          <w:lang w:val="en-US" w:eastAsia="zh-CN"/>
        </w:rPr>
      </w:pPr>
      <w:bookmarkStart w:id="2" w:name="_Toc2308"/>
      <w:bookmarkStart w:id="3" w:name="_Toc24272"/>
      <w:bookmarkStart w:id="4" w:name="_Toc12107"/>
      <w:bookmarkStart w:id="5" w:name="_Toc12572"/>
      <w:bookmarkStart w:id="6" w:name="_Toc28770"/>
      <w:bookmarkStart w:id="7" w:name="_Toc7614"/>
      <w:bookmarkStart w:id="8" w:name="_Toc18385"/>
      <w:bookmarkStart w:id="9" w:name="_Toc17273"/>
      <w:bookmarkStart w:id="10" w:name="_Toc10561"/>
      <w:bookmarkStart w:id="11" w:name="_Toc20459"/>
      <w:bookmarkStart w:id="12" w:name="_Toc21700"/>
      <w:bookmarkStart w:id="13" w:name="_Toc8333"/>
      <w:bookmarkStart w:id="14" w:name="_Toc2940"/>
      <w:bookmarkStart w:id="15" w:name="_Toc10826"/>
      <w:bookmarkStart w:id="16" w:name="_Toc980"/>
      <w:bookmarkStart w:id="17" w:name="_Toc1369"/>
      <w:bookmarkStart w:id="18" w:name="_Toc114"/>
      <w:bookmarkStart w:id="19" w:name="_Toc29074"/>
      <w:bookmarkStart w:id="20" w:name="_Toc4066"/>
      <w:r>
        <w:rPr>
          <w:rFonts w:hint="eastAsia" w:ascii="方正小标宋简体" w:hAnsi="黑体" w:eastAsia="方正小标宋简体" w:cs="Times New Roman"/>
          <w:b/>
          <w:sz w:val="44"/>
          <w:szCs w:val="44"/>
          <w:lang w:val="en-US" w:eastAsia="zh-CN"/>
        </w:rPr>
        <w:t>包头市白云鄂博矿区国民经济和</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1" w:name="_Toc27524"/>
      <w:bookmarkStart w:id="22" w:name="_Toc12965"/>
      <w:bookmarkStart w:id="23" w:name="_Toc10759"/>
      <w:bookmarkStart w:id="24" w:name="_Toc9956"/>
      <w:bookmarkStart w:id="25" w:name="_Toc23078"/>
      <w:bookmarkStart w:id="26" w:name="_Toc7109"/>
      <w:bookmarkStart w:id="27" w:name="_Toc7013"/>
      <w:bookmarkStart w:id="28" w:name="_Toc18262"/>
      <w:bookmarkStart w:id="29" w:name="_Toc10052"/>
      <w:bookmarkStart w:id="30" w:name="_Toc23201"/>
      <w:bookmarkStart w:id="31" w:name="_Toc22686"/>
      <w:bookmarkStart w:id="32" w:name="_Toc10783"/>
      <w:bookmarkStart w:id="33" w:name="_Toc30465"/>
      <w:bookmarkStart w:id="34" w:name="_Toc16681"/>
      <w:bookmarkStart w:id="35" w:name="_Toc20626"/>
      <w:bookmarkStart w:id="36" w:name="_Toc14231"/>
      <w:bookmarkStart w:id="37" w:name="_Toc12005"/>
      <w:bookmarkStart w:id="38" w:name="_Toc10416"/>
      <w:bookmarkStart w:id="39" w:name="_Toc32040"/>
      <w:r>
        <w:rPr>
          <w:rFonts w:hint="eastAsia" w:ascii="方正小标宋简体" w:hAnsi="黑体" w:eastAsia="方正小标宋简体" w:cs="Times New Roman"/>
          <w:b/>
          <w:sz w:val="44"/>
          <w:szCs w:val="44"/>
          <w:lang w:val="en-US" w:eastAsia="zh-CN"/>
        </w:rPr>
        <w:t>社会发展第十四个五年规划和</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Start w:id="40" w:name="_Toc16345"/>
      <w:bookmarkStart w:id="41" w:name="_Toc26018"/>
      <w:bookmarkStart w:id="42" w:name="_Toc32162"/>
      <w:bookmarkStart w:id="43" w:name="_Toc3416"/>
      <w:bookmarkStart w:id="44" w:name="_Toc15094"/>
      <w:bookmarkStart w:id="45" w:name="_Toc18454"/>
      <w:bookmarkStart w:id="46" w:name="_Toc27843"/>
      <w:bookmarkStart w:id="47" w:name="_Toc9889"/>
      <w:bookmarkStart w:id="48" w:name="_Toc24077"/>
      <w:bookmarkStart w:id="49" w:name="_Toc23577"/>
      <w:bookmarkStart w:id="50" w:name="_Toc7676"/>
      <w:bookmarkStart w:id="51" w:name="_Toc7242"/>
      <w:bookmarkStart w:id="52" w:name="_Toc2437"/>
      <w:bookmarkStart w:id="53" w:name="_Toc22121"/>
      <w:bookmarkStart w:id="54" w:name="_Toc13127"/>
      <w:bookmarkStart w:id="55" w:name="_Toc8762"/>
      <w:bookmarkStart w:id="56" w:name="_Toc28749"/>
      <w:bookmarkStart w:id="57" w:name="_Toc27671"/>
      <w:bookmarkStart w:id="58" w:name="_Toc6646"/>
      <w:r>
        <w:rPr>
          <w:rFonts w:hint="eastAsia" w:ascii="方正小标宋简体" w:hAnsi="黑体" w:eastAsia="方正小标宋简体" w:cs="Times New Roman"/>
          <w:b/>
          <w:sz w:val="44"/>
          <w:szCs w:val="44"/>
          <w:lang w:val="en-US" w:eastAsia="zh-CN"/>
        </w:rPr>
        <w:t>2035年远景目标纲要</w:t>
      </w:r>
      <w:bookmarkEnd w:id="0"/>
      <w:bookmarkEnd w:id="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9BAB67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黑体" w:eastAsia="方正小标宋简体" w:cs="Times New Roman"/>
          <w:b/>
          <w:sz w:val="44"/>
          <w:szCs w:val="44"/>
          <w:lang w:eastAsia="zh-CN"/>
        </w:rPr>
      </w:pPr>
      <w:bookmarkStart w:id="59" w:name="_Toc11069"/>
      <w:bookmarkStart w:id="60" w:name="_Toc29895"/>
    </w:p>
    <w:bookmarkEnd w:id="59"/>
    <w:bookmarkEnd w:id="60"/>
    <w:p w14:paraId="03C1CDFE">
      <w:pPr>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6F580CFF">
      <w:pPr>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12FE851C">
      <w:pPr>
        <w:pageBreakBefore w:val="0"/>
        <w:kinsoku/>
        <w:wordWrap/>
        <w:overflowPunct/>
        <w:topLinePunct w:val="0"/>
        <w:autoSpaceDE/>
        <w:autoSpaceDN/>
        <w:bidi w:val="0"/>
        <w:spacing w:before="0" w:beforeLines="0" w:after="0" w:afterLines="0" w:line="520" w:lineRule="exact"/>
        <w:ind w:left="0" w:right="0" w:firstLine="0"/>
        <w:jc w:val="both"/>
        <w:textAlignment w:val="auto"/>
        <w:rPr>
          <w:rFonts w:hint="eastAsia" w:ascii="仿宋" w:hAnsi="仿宋" w:eastAsia="仿宋" w:cs="仿宋"/>
          <w:kern w:val="2"/>
          <w:sz w:val="24"/>
          <w:szCs w:val="24"/>
          <w:lang w:val="en-US" w:eastAsia="zh-CN" w:bidi="ar-SA"/>
        </w:rPr>
      </w:pPr>
    </w:p>
    <w:p w14:paraId="4631D99D">
      <w:pPr>
        <w:pStyle w:val="2"/>
        <w:outlineLvl w:val="9"/>
        <w:rPr>
          <w:rFonts w:hint="eastAsia" w:ascii="仿宋" w:hAnsi="仿宋" w:eastAsia="仿宋" w:cs="仿宋"/>
          <w:kern w:val="2"/>
          <w:sz w:val="24"/>
          <w:szCs w:val="24"/>
          <w:lang w:val="en-US" w:eastAsia="zh-CN" w:bidi="ar-SA"/>
        </w:rPr>
      </w:pPr>
    </w:p>
    <w:p w14:paraId="35A9DF03">
      <w:pPr>
        <w:rPr>
          <w:rFonts w:hint="eastAsia"/>
          <w:lang w:val="en-US" w:eastAsia="zh-CN"/>
        </w:rPr>
      </w:pPr>
    </w:p>
    <w:p w14:paraId="77968068">
      <w:pPr>
        <w:pStyle w:val="2"/>
        <w:pageBreakBefore w:val="0"/>
        <w:kinsoku/>
        <w:wordWrap/>
        <w:overflowPunct/>
        <w:topLinePunct w:val="0"/>
        <w:autoSpaceDE/>
        <w:autoSpaceDN/>
        <w:bidi w:val="0"/>
        <w:spacing w:line="520" w:lineRule="exact"/>
        <w:jc w:val="both"/>
        <w:textAlignment w:val="auto"/>
        <w:outlineLvl w:val="9"/>
        <w:rPr>
          <w:rFonts w:hint="eastAsia" w:ascii="仿宋" w:hAnsi="仿宋" w:eastAsia="仿宋" w:cs="仿宋"/>
          <w:sz w:val="24"/>
          <w:szCs w:val="24"/>
          <w:lang w:val="en-US" w:eastAsia="zh-CN"/>
        </w:rPr>
      </w:pPr>
    </w:p>
    <w:p w14:paraId="700427B8">
      <w:pPr>
        <w:spacing w:line="640" w:lineRule="exact"/>
        <w:ind w:firstLine="0" w:firstLineChars="0"/>
        <w:jc w:val="center"/>
        <w:rPr>
          <w:rFonts w:hint="eastAsia" w:ascii="楷体_GB2312" w:eastAsia="楷体_GB2312" w:cs="Times New Roman"/>
          <w:b/>
          <w:sz w:val="32"/>
          <w:szCs w:val="32"/>
          <w:lang w:val="en-US" w:eastAsia="zh-CN"/>
        </w:rPr>
      </w:pPr>
      <w:r>
        <w:rPr>
          <w:rFonts w:hint="eastAsia" w:ascii="楷体_GB2312" w:eastAsia="楷体_GB2312" w:cs="Times New Roman"/>
          <w:b/>
          <w:sz w:val="32"/>
          <w:szCs w:val="32"/>
          <w:lang w:val="en-US" w:eastAsia="zh-CN"/>
        </w:rPr>
        <w:t>白云鄂博矿区人民政府</w:t>
      </w:r>
    </w:p>
    <w:p w14:paraId="0BA08257">
      <w:pPr>
        <w:pStyle w:val="2"/>
        <w:outlineLvl w:val="9"/>
        <w:rPr>
          <w:rFonts w:hint="eastAsia" w:ascii="楷体_GB2312" w:eastAsia="楷体_GB2312" w:cs="Times New Roman"/>
          <w:b/>
          <w:sz w:val="32"/>
          <w:szCs w:val="32"/>
          <w:lang w:val="en-US" w:eastAsia="zh-CN"/>
        </w:rPr>
      </w:pPr>
    </w:p>
    <w:p w14:paraId="51AF56FE">
      <w:pPr>
        <w:pStyle w:val="2"/>
        <w:outlineLvl w:val="9"/>
        <w:rPr>
          <w:rFonts w:hint="eastAsia"/>
          <w:lang w:val="en-US" w:eastAsia="zh-CN"/>
        </w:rPr>
        <w:sectPr>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F5B2CFC">
      <w:pPr>
        <w:rPr>
          <w:rFonts w:hint="eastAsia"/>
          <w:lang w:val="en-US" w:eastAsia="zh-CN"/>
        </w:rPr>
      </w:pPr>
    </w:p>
    <w:p w14:paraId="2CCCB48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黑体" w:eastAsia="方正小标宋简体" w:cs="Times New Roman"/>
          <w:b/>
          <w:sz w:val="36"/>
          <w:szCs w:val="36"/>
        </w:rPr>
      </w:pPr>
      <w:r>
        <w:rPr>
          <w:rFonts w:hint="eastAsia" w:ascii="方正小标宋简体" w:hAnsi="黑体" w:eastAsia="方正小标宋简体" w:cs="Times New Roman"/>
          <w:b/>
          <w:sz w:val="36"/>
          <w:szCs w:val="36"/>
        </w:rPr>
        <w:t>白云矿区第十</w:t>
      </w:r>
      <w:r>
        <w:rPr>
          <w:rFonts w:hint="eastAsia" w:ascii="方正小标宋简体" w:hAnsi="黑体" w:eastAsia="方正小标宋简体" w:cs="Times New Roman"/>
          <w:b/>
          <w:sz w:val="36"/>
          <w:szCs w:val="36"/>
          <w:lang w:val="en-US" w:eastAsia="zh-CN"/>
        </w:rPr>
        <w:t>四</w:t>
      </w:r>
      <w:r>
        <w:rPr>
          <w:rFonts w:hint="eastAsia" w:ascii="方正小标宋简体" w:hAnsi="黑体" w:eastAsia="方正小标宋简体" w:cs="Times New Roman"/>
          <w:b/>
          <w:sz w:val="36"/>
          <w:szCs w:val="36"/>
        </w:rPr>
        <w:t>届人民代表大会第四次会议关于批准《白云鄂博矿区国民经济和社会发展第十</w:t>
      </w:r>
      <w:r>
        <w:rPr>
          <w:rFonts w:hint="eastAsia" w:ascii="方正小标宋简体" w:hAnsi="黑体" w:eastAsia="方正小标宋简体" w:cs="Times New Roman"/>
          <w:b/>
          <w:sz w:val="36"/>
          <w:szCs w:val="36"/>
          <w:lang w:eastAsia="zh-CN"/>
        </w:rPr>
        <w:t>四</w:t>
      </w:r>
      <w:r>
        <w:rPr>
          <w:rFonts w:hint="eastAsia" w:ascii="方正小标宋简体" w:hAnsi="黑体" w:eastAsia="方正小标宋简体" w:cs="Times New Roman"/>
          <w:b/>
          <w:sz w:val="36"/>
          <w:szCs w:val="36"/>
        </w:rPr>
        <w:t>个五年规划</w:t>
      </w:r>
      <w:r>
        <w:rPr>
          <w:rFonts w:hint="eastAsia" w:ascii="方正小标宋简体" w:hAnsi="黑体" w:eastAsia="方正小标宋简体" w:cs="Times New Roman"/>
          <w:b/>
          <w:sz w:val="36"/>
          <w:szCs w:val="36"/>
          <w:lang w:eastAsia="zh-CN"/>
        </w:rPr>
        <w:t>和</w:t>
      </w:r>
      <w:r>
        <w:rPr>
          <w:rFonts w:hint="eastAsia" w:ascii="方正小标宋简体" w:hAnsi="黑体" w:eastAsia="方正小标宋简体" w:cs="Times New Roman"/>
          <w:b/>
          <w:sz w:val="36"/>
          <w:szCs w:val="36"/>
          <w:lang w:val="en-US" w:eastAsia="zh-CN"/>
        </w:rPr>
        <w:t>2035年远景目标</w:t>
      </w:r>
      <w:r>
        <w:rPr>
          <w:rFonts w:hint="eastAsia" w:ascii="方正小标宋简体" w:hAnsi="黑体" w:eastAsia="方正小标宋简体" w:cs="Times New Roman"/>
          <w:b/>
          <w:sz w:val="36"/>
          <w:szCs w:val="36"/>
        </w:rPr>
        <w:t>纲要》的决议</w:t>
      </w:r>
    </w:p>
    <w:p w14:paraId="3A48AEFA">
      <w:pPr>
        <w:ind w:firstLine="0" w:firstLineChars="0"/>
        <w:jc w:val="center"/>
        <w:rPr>
          <w:rFonts w:hint="eastAsia" w:ascii="楷体_GB2312" w:hAnsi="Times New Roman" w:eastAsia="楷体_GB2312"/>
          <w:color w:val="auto"/>
          <w:spacing w:val="-6"/>
          <w:sz w:val="24"/>
          <w:szCs w:val="24"/>
        </w:rPr>
      </w:pPr>
    </w:p>
    <w:p w14:paraId="7F053B5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Times New Roman" w:eastAsia="楷体_GB2312" w:cs="Times New Roman"/>
          <w:spacing w:val="-6"/>
          <w:sz w:val="24"/>
          <w:szCs w:val="24"/>
        </w:rPr>
      </w:pPr>
      <w:r>
        <w:rPr>
          <w:rFonts w:hint="eastAsia" w:ascii="楷体_GB2312" w:hAnsi="Times New Roman" w:eastAsia="楷体_GB2312" w:cs="Times New Roman"/>
          <w:spacing w:val="-6"/>
          <w:sz w:val="24"/>
          <w:szCs w:val="24"/>
        </w:rPr>
        <w:t>(</w:t>
      </w:r>
      <w:r>
        <w:rPr>
          <w:rFonts w:hint="eastAsia" w:ascii="楷体_GB2312" w:hAnsi="Times New Roman" w:eastAsia="楷体_GB2312" w:cs="Times New Roman"/>
          <w:spacing w:val="-6"/>
          <w:sz w:val="24"/>
          <w:szCs w:val="24"/>
          <w:lang w:val="en-US" w:eastAsia="zh-CN"/>
        </w:rPr>
        <w:t>2021</w:t>
      </w:r>
      <w:r>
        <w:rPr>
          <w:rFonts w:hint="eastAsia" w:ascii="楷体_GB2312" w:hAnsi="Times New Roman" w:eastAsia="楷体_GB2312" w:cs="Times New Roman"/>
          <w:spacing w:val="-6"/>
          <w:sz w:val="24"/>
          <w:szCs w:val="24"/>
        </w:rPr>
        <w:t>年</w:t>
      </w:r>
      <w:r>
        <w:rPr>
          <w:rFonts w:hint="eastAsia" w:ascii="楷体_GB2312" w:hAnsi="Times New Roman" w:eastAsia="楷体_GB2312" w:cs="Times New Roman"/>
          <w:spacing w:val="-6"/>
          <w:sz w:val="24"/>
          <w:szCs w:val="24"/>
          <w:lang w:val="en-US" w:eastAsia="zh-CN"/>
        </w:rPr>
        <w:t>6</w:t>
      </w:r>
      <w:r>
        <w:rPr>
          <w:rFonts w:hint="eastAsia" w:ascii="楷体_GB2312" w:hAnsi="Times New Roman" w:eastAsia="楷体_GB2312" w:cs="Times New Roman"/>
          <w:spacing w:val="-6"/>
          <w:sz w:val="24"/>
          <w:szCs w:val="24"/>
        </w:rPr>
        <w:t>月2</w:t>
      </w:r>
      <w:r>
        <w:rPr>
          <w:rFonts w:hint="eastAsia" w:ascii="楷体_GB2312" w:hAnsi="Times New Roman" w:eastAsia="楷体_GB2312" w:cs="Times New Roman"/>
          <w:spacing w:val="-6"/>
          <w:sz w:val="24"/>
          <w:szCs w:val="24"/>
          <w:lang w:val="en-US" w:eastAsia="zh-CN"/>
        </w:rPr>
        <w:t>7</w:t>
      </w:r>
      <w:r>
        <w:rPr>
          <w:rFonts w:hint="eastAsia" w:ascii="楷体_GB2312" w:hAnsi="Times New Roman" w:eastAsia="楷体_GB2312" w:cs="Times New Roman"/>
          <w:spacing w:val="-6"/>
          <w:sz w:val="24"/>
          <w:szCs w:val="24"/>
        </w:rPr>
        <w:t>日在白云矿区第十</w:t>
      </w:r>
      <w:r>
        <w:rPr>
          <w:rFonts w:hint="eastAsia" w:ascii="楷体_GB2312" w:hAnsi="Times New Roman" w:eastAsia="楷体_GB2312" w:cs="Times New Roman"/>
          <w:spacing w:val="-6"/>
          <w:sz w:val="24"/>
          <w:szCs w:val="24"/>
          <w:lang w:val="en-US" w:eastAsia="zh-CN"/>
        </w:rPr>
        <w:t>四</w:t>
      </w:r>
      <w:r>
        <w:rPr>
          <w:rFonts w:hint="eastAsia" w:ascii="楷体_GB2312" w:hAnsi="Times New Roman" w:eastAsia="楷体_GB2312" w:cs="Times New Roman"/>
          <w:spacing w:val="-6"/>
          <w:sz w:val="24"/>
          <w:szCs w:val="24"/>
        </w:rPr>
        <w:t>届人民代表大会第四次会议通过)</w:t>
      </w:r>
    </w:p>
    <w:p w14:paraId="3CCE22E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楷体_GB2312" w:hAnsi="Times New Roman" w:eastAsia="楷体_GB2312" w:cs="Times New Roman"/>
          <w:spacing w:val="-6"/>
          <w:sz w:val="24"/>
          <w:szCs w:val="24"/>
        </w:rPr>
      </w:pPr>
    </w:p>
    <w:p w14:paraId="773742D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56" w:firstLineChars="200"/>
        <w:jc w:val="left"/>
        <w:textAlignment w:val="auto"/>
        <w:outlineLvl w:val="9"/>
        <w:rPr>
          <w:rFonts w:hint="eastAsia" w:ascii="楷体_GB2312" w:hAnsi="Times New Roman" w:eastAsia="楷体_GB2312" w:cs="Times New Roman"/>
          <w:spacing w:val="-6"/>
          <w:sz w:val="24"/>
          <w:szCs w:val="24"/>
        </w:rPr>
      </w:pPr>
    </w:p>
    <w:p w14:paraId="6CEC67B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56" w:firstLineChars="200"/>
        <w:jc w:val="left"/>
        <w:textAlignment w:val="auto"/>
        <w:outlineLvl w:val="9"/>
        <w:rPr>
          <w:rFonts w:hint="eastAsia" w:ascii="楷体_GB2312" w:hAnsi="Times New Roman" w:eastAsia="楷体_GB2312" w:cs="Times New Roman"/>
          <w:spacing w:val="-6"/>
          <w:sz w:val="24"/>
          <w:szCs w:val="24"/>
        </w:rPr>
      </w:pPr>
      <w:r>
        <w:rPr>
          <w:rFonts w:hint="eastAsia" w:ascii="楷体_GB2312" w:hAnsi="Times New Roman" w:eastAsia="楷体_GB2312" w:cs="Times New Roman"/>
          <w:spacing w:val="-6"/>
          <w:sz w:val="24"/>
          <w:szCs w:val="24"/>
        </w:rPr>
        <w:t>白云矿区第十</w:t>
      </w:r>
      <w:r>
        <w:rPr>
          <w:rFonts w:hint="eastAsia" w:ascii="楷体_GB2312" w:hAnsi="Times New Roman" w:eastAsia="楷体_GB2312" w:cs="Times New Roman"/>
          <w:spacing w:val="-6"/>
          <w:sz w:val="24"/>
          <w:szCs w:val="24"/>
          <w:lang w:val="en-US" w:eastAsia="zh-CN"/>
        </w:rPr>
        <w:t>四</w:t>
      </w:r>
      <w:r>
        <w:rPr>
          <w:rFonts w:hint="eastAsia" w:ascii="楷体_GB2312" w:hAnsi="Times New Roman" w:eastAsia="楷体_GB2312" w:cs="Times New Roman"/>
          <w:spacing w:val="-6"/>
          <w:sz w:val="24"/>
          <w:szCs w:val="24"/>
        </w:rPr>
        <w:t>届人民代表大会第四次会议，审查了白云矿区人民政府提交的《白云</w:t>
      </w:r>
      <w:r>
        <w:rPr>
          <w:rFonts w:hint="eastAsia" w:ascii="楷体_GB2312" w:hAnsi="Times New Roman" w:eastAsia="楷体_GB2312" w:cs="Times New Roman"/>
          <w:spacing w:val="-6"/>
          <w:sz w:val="24"/>
          <w:szCs w:val="24"/>
          <w:lang w:eastAsia="zh-CN"/>
        </w:rPr>
        <w:t>鄂博</w:t>
      </w:r>
      <w:r>
        <w:rPr>
          <w:rFonts w:hint="eastAsia" w:ascii="楷体_GB2312" w:hAnsi="Times New Roman" w:eastAsia="楷体_GB2312" w:cs="Times New Roman"/>
          <w:spacing w:val="-6"/>
          <w:sz w:val="24"/>
          <w:szCs w:val="24"/>
        </w:rPr>
        <w:t>矿区国民经济和社会发展第十</w:t>
      </w:r>
      <w:r>
        <w:rPr>
          <w:rFonts w:hint="eastAsia" w:ascii="楷体_GB2312" w:hAnsi="Times New Roman" w:eastAsia="楷体_GB2312" w:cs="Times New Roman"/>
          <w:spacing w:val="-6"/>
          <w:sz w:val="24"/>
          <w:szCs w:val="24"/>
          <w:lang w:eastAsia="zh-CN"/>
        </w:rPr>
        <w:t>四</w:t>
      </w:r>
      <w:r>
        <w:rPr>
          <w:rFonts w:hint="eastAsia" w:ascii="楷体_GB2312" w:hAnsi="Times New Roman" w:eastAsia="楷体_GB2312" w:cs="Times New Roman"/>
          <w:spacing w:val="-6"/>
          <w:sz w:val="24"/>
          <w:szCs w:val="24"/>
        </w:rPr>
        <w:t>个五年规划</w:t>
      </w:r>
      <w:r>
        <w:rPr>
          <w:rFonts w:hint="eastAsia" w:ascii="楷体_GB2312" w:hAnsi="Times New Roman" w:eastAsia="楷体_GB2312" w:cs="Times New Roman"/>
          <w:spacing w:val="-6"/>
          <w:sz w:val="24"/>
          <w:szCs w:val="24"/>
          <w:lang w:eastAsia="zh-CN"/>
        </w:rPr>
        <w:t>和</w:t>
      </w:r>
      <w:r>
        <w:rPr>
          <w:rFonts w:hint="eastAsia" w:ascii="楷体_GB2312" w:hAnsi="Times New Roman" w:eastAsia="楷体_GB2312" w:cs="Times New Roman"/>
          <w:spacing w:val="-6"/>
          <w:sz w:val="24"/>
          <w:szCs w:val="24"/>
          <w:lang w:val="en-US" w:eastAsia="zh-CN"/>
        </w:rPr>
        <w:t>2035年远景目标</w:t>
      </w:r>
      <w:r>
        <w:rPr>
          <w:rFonts w:hint="eastAsia" w:ascii="楷体_GB2312" w:hAnsi="Times New Roman" w:eastAsia="楷体_GB2312" w:cs="Times New Roman"/>
          <w:spacing w:val="-6"/>
          <w:sz w:val="24"/>
          <w:szCs w:val="24"/>
        </w:rPr>
        <w:t>纲要草案》。会议同意大会计划预算审查委员会的审查结果报告，决定批准《白云</w:t>
      </w:r>
      <w:r>
        <w:rPr>
          <w:rFonts w:hint="eastAsia" w:ascii="楷体_GB2312" w:hAnsi="Times New Roman" w:eastAsia="楷体_GB2312" w:cs="Times New Roman"/>
          <w:spacing w:val="-6"/>
          <w:sz w:val="24"/>
          <w:szCs w:val="24"/>
          <w:lang w:eastAsia="zh-CN"/>
        </w:rPr>
        <w:t>鄂博</w:t>
      </w:r>
      <w:r>
        <w:rPr>
          <w:rFonts w:hint="eastAsia" w:ascii="楷体_GB2312" w:hAnsi="Times New Roman" w:eastAsia="楷体_GB2312" w:cs="Times New Roman"/>
          <w:spacing w:val="-6"/>
          <w:sz w:val="24"/>
          <w:szCs w:val="24"/>
        </w:rPr>
        <w:t>矿区国民经济和社会发展第十</w:t>
      </w:r>
      <w:r>
        <w:rPr>
          <w:rFonts w:hint="eastAsia" w:ascii="楷体_GB2312" w:hAnsi="Times New Roman" w:eastAsia="楷体_GB2312" w:cs="Times New Roman"/>
          <w:spacing w:val="-6"/>
          <w:sz w:val="24"/>
          <w:szCs w:val="24"/>
          <w:lang w:eastAsia="zh-CN"/>
        </w:rPr>
        <w:t>四</w:t>
      </w:r>
      <w:r>
        <w:rPr>
          <w:rFonts w:hint="eastAsia" w:ascii="楷体_GB2312" w:hAnsi="Times New Roman" w:eastAsia="楷体_GB2312" w:cs="Times New Roman"/>
          <w:spacing w:val="-6"/>
          <w:sz w:val="24"/>
          <w:szCs w:val="24"/>
        </w:rPr>
        <w:t>个五年规划</w:t>
      </w:r>
      <w:r>
        <w:rPr>
          <w:rFonts w:hint="eastAsia" w:ascii="楷体_GB2312" w:hAnsi="Times New Roman" w:eastAsia="楷体_GB2312" w:cs="Times New Roman"/>
          <w:spacing w:val="-6"/>
          <w:sz w:val="24"/>
          <w:szCs w:val="24"/>
          <w:lang w:eastAsia="zh-CN"/>
        </w:rPr>
        <w:t>和</w:t>
      </w:r>
      <w:r>
        <w:rPr>
          <w:rFonts w:hint="eastAsia" w:ascii="楷体_GB2312" w:hAnsi="Times New Roman" w:eastAsia="楷体_GB2312" w:cs="Times New Roman"/>
          <w:spacing w:val="-6"/>
          <w:sz w:val="24"/>
          <w:szCs w:val="24"/>
          <w:lang w:val="en-US" w:eastAsia="zh-CN"/>
        </w:rPr>
        <w:t>2035年远景目标</w:t>
      </w:r>
      <w:r>
        <w:rPr>
          <w:rFonts w:hint="eastAsia" w:ascii="楷体_GB2312" w:hAnsi="Times New Roman" w:eastAsia="楷体_GB2312" w:cs="Times New Roman"/>
          <w:spacing w:val="-6"/>
          <w:sz w:val="24"/>
          <w:szCs w:val="24"/>
        </w:rPr>
        <w:t>纲要草案》，批准白云矿区国民经济和社会发展第十</w:t>
      </w:r>
      <w:r>
        <w:rPr>
          <w:rFonts w:hint="eastAsia" w:ascii="楷体_GB2312" w:hAnsi="Times New Roman" w:eastAsia="楷体_GB2312" w:cs="Times New Roman"/>
          <w:spacing w:val="-6"/>
          <w:sz w:val="24"/>
          <w:szCs w:val="24"/>
          <w:lang w:eastAsia="zh-CN"/>
        </w:rPr>
        <w:t>四</w:t>
      </w:r>
      <w:r>
        <w:rPr>
          <w:rFonts w:hint="eastAsia" w:ascii="楷体_GB2312" w:hAnsi="Times New Roman" w:eastAsia="楷体_GB2312" w:cs="Times New Roman"/>
          <w:spacing w:val="-6"/>
          <w:sz w:val="24"/>
          <w:szCs w:val="24"/>
        </w:rPr>
        <w:t>个五年规划</w:t>
      </w:r>
      <w:r>
        <w:rPr>
          <w:rFonts w:hint="eastAsia" w:ascii="楷体_GB2312" w:hAnsi="Times New Roman" w:eastAsia="楷体_GB2312" w:cs="Times New Roman"/>
          <w:spacing w:val="-6"/>
          <w:sz w:val="24"/>
          <w:szCs w:val="24"/>
          <w:lang w:eastAsia="zh-CN"/>
        </w:rPr>
        <w:t>和</w:t>
      </w:r>
      <w:r>
        <w:rPr>
          <w:rFonts w:hint="eastAsia" w:ascii="楷体_GB2312" w:hAnsi="Times New Roman" w:eastAsia="楷体_GB2312" w:cs="Times New Roman"/>
          <w:spacing w:val="-6"/>
          <w:sz w:val="24"/>
          <w:szCs w:val="24"/>
          <w:lang w:val="en-US" w:eastAsia="zh-CN"/>
        </w:rPr>
        <w:t>2035年远景目标</w:t>
      </w:r>
      <w:r>
        <w:rPr>
          <w:rFonts w:hint="eastAsia" w:ascii="楷体_GB2312" w:hAnsi="Times New Roman" w:eastAsia="楷体_GB2312" w:cs="Times New Roman"/>
          <w:spacing w:val="-6"/>
          <w:sz w:val="24"/>
          <w:szCs w:val="24"/>
        </w:rPr>
        <w:t>纲要。</w:t>
      </w:r>
    </w:p>
    <w:p w14:paraId="29019790">
      <w:pPr>
        <w:pStyle w:val="2"/>
        <w:outlineLvl w:val="9"/>
        <w:rPr>
          <w:rFonts w:hint="eastAsia"/>
        </w:rPr>
      </w:pPr>
    </w:p>
    <w:p w14:paraId="0438E794">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footerReference r:id="rId3" w:type="default"/>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sdt>
      <w:sdtPr>
        <w:rPr>
          <w:rFonts w:ascii="宋体" w:hAnsi="宋体" w:eastAsia="宋体" w:cs="Times New Roman"/>
          <w:kern w:val="2"/>
          <w:sz w:val="21"/>
          <w:szCs w:val="24"/>
          <w:lang w:val="en-US" w:eastAsia="zh-CN" w:bidi="ar-SA"/>
        </w:rPr>
        <w:id w:val="147478680"/>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3CE577FC">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4F4A6D75">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_Toc5959 </w:instrText>
          </w:r>
          <w:r>
            <w:rPr>
              <w:rFonts w:hint="eastAsia" w:ascii="宋体" w:hAnsi="宋体" w:eastAsia="宋体" w:cs="宋体"/>
              <w:b/>
              <w:bCs/>
              <w:sz w:val="21"/>
              <w:szCs w:val="21"/>
            </w:rPr>
            <w:fldChar w:fldCharType="separate"/>
          </w:r>
          <w:r>
            <w:rPr>
              <w:rFonts w:hint="eastAsia" w:ascii="宋体" w:hAnsi="宋体" w:eastAsia="宋体" w:cs="宋体"/>
              <w:b/>
              <w:bCs/>
              <w:kern w:val="0"/>
              <w:sz w:val="21"/>
              <w:szCs w:val="21"/>
              <w:lang w:val="en-US" w:eastAsia="zh-CN" w:bidi="ar-SA"/>
            </w:rPr>
            <w:t>第一章 全面建成小康社会</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_Toc5959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4A1F9FE8">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_Toc30747 </w:instrText>
          </w:r>
          <w:r>
            <w:rPr>
              <w:rFonts w:hint="eastAsia" w:ascii="宋体" w:hAnsi="宋体" w:eastAsia="宋体" w:cs="宋体"/>
              <w:b/>
              <w:bCs/>
              <w:sz w:val="21"/>
              <w:szCs w:val="21"/>
            </w:rPr>
            <w:fldChar w:fldCharType="separate"/>
          </w:r>
          <w:r>
            <w:rPr>
              <w:rFonts w:hint="eastAsia" w:ascii="宋体" w:hAnsi="宋体" w:eastAsia="宋体" w:cs="宋体"/>
              <w:b/>
              <w:bCs/>
              <w:kern w:val="0"/>
              <w:sz w:val="21"/>
              <w:szCs w:val="21"/>
              <w:lang w:val="en-US" w:eastAsia="zh-CN" w:bidi="ar-SA"/>
            </w:rPr>
            <w:t>开启社会主义现代化建设新征程</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_Toc30747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59654BD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_Toc4105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第一节</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发展成就</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_Toc4105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A19CE09">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_Toc13995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面临的形势</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_Toc13995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0C806F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_Toc24175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第三节 2035</w:t>
          </w:r>
          <w:r>
            <w:rPr>
              <w:rFonts w:hint="eastAsia" w:ascii="宋体" w:hAnsi="宋体" w:eastAsia="宋体" w:cs="宋体"/>
              <w:bCs/>
              <w:sz w:val="21"/>
              <w:szCs w:val="21"/>
              <w:lang w:eastAsia="zh-CN"/>
            </w:rPr>
            <w:t>年</w:t>
          </w:r>
          <w:r>
            <w:rPr>
              <w:rFonts w:hint="eastAsia" w:ascii="宋体" w:hAnsi="宋体" w:eastAsia="宋体" w:cs="宋体"/>
              <w:bCs/>
              <w:sz w:val="21"/>
              <w:szCs w:val="21"/>
              <w:lang w:val="en-US" w:eastAsia="zh-CN"/>
            </w:rPr>
            <w:t>远景目标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_Toc24175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A2EE6ED">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_Toc8025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第二章 指导方针与发展目标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_Toc8025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03619DA">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_Toc21099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 xml:space="preserve">第一节 </w:t>
          </w:r>
          <w:r>
            <w:rPr>
              <w:rFonts w:hint="eastAsia" w:ascii="宋体" w:hAnsi="宋体" w:eastAsia="宋体" w:cs="宋体"/>
              <w:sz w:val="21"/>
              <w:szCs w:val="21"/>
            </w:rPr>
            <w:t>指导思想</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_Toc21099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BC11CE5">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_Toc15473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基本原则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_Toc15473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B782547">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_Toc1691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发展目标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_Toc1691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6E89FB3">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_Toc6552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第三章 坚持创新驱动发展战略 全面提升创新发展能力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_Toc6552 \h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A8638B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_Toc11684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构建</w:t>
          </w:r>
          <w:r>
            <w:rPr>
              <w:rFonts w:hint="eastAsia" w:ascii="宋体" w:hAnsi="宋体" w:eastAsia="宋体" w:cs="宋体"/>
              <w:sz w:val="21"/>
              <w:szCs w:val="21"/>
            </w:rPr>
            <w:t>创新驱动</w:t>
          </w:r>
          <w:r>
            <w:rPr>
              <w:rFonts w:hint="eastAsia" w:ascii="宋体" w:hAnsi="宋体" w:eastAsia="宋体" w:cs="宋体"/>
              <w:sz w:val="21"/>
              <w:szCs w:val="21"/>
              <w:lang w:val="en-US" w:eastAsia="zh-CN"/>
            </w:rPr>
            <w:t>新模式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_Toc11684 \h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C80BFAC">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_Toc26151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第二节 </w:t>
          </w:r>
          <w:r>
            <w:rPr>
              <w:rFonts w:hint="eastAsia" w:ascii="宋体" w:hAnsi="宋体" w:eastAsia="宋体" w:cs="宋体"/>
              <w:sz w:val="21"/>
              <w:szCs w:val="21"/>
              <w:lang w:val="en-US" w:eastAsia="zh-CN"/>
            </w:rPr>
            <w:t>发挥企业创新主体地位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_Toc26151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A36F4DE">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_Toc2969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积极实施人才创新战略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_Toc2969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D90AF9B">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_Toc26494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第四章 构建现代产业体系 助力高质量发展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_Toc26494 \h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D81B56E">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_Toc911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促进传统产业转型升级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_Toc911 \h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CA790AB">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_Toc8905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培育发展战略性新兴产业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_Toc8905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EDF25D4">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_Toc8900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培育壮大现代服务业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_Toc8900 \h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1729B17">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_Toc8715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第四节 加快发展数字经济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_Toc8715 \h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ACDDDD8">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_Toc7681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第五章 加强基础设施建设 提升高质量发展保障能力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_Toc7681 \h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DDA923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_Toc5742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提升传统基础设施建设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_Toc5742 \h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0FD3AE5">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_Toc6952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加快新型基础设施建设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_Toc6952 \h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D561C45">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sectPr>
              <w:footerReference r:id="rId4" w:type="default"/>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A493749">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_Toc27177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完善城镇基础设施建设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_Toc27177 \h </w:instrText>
          </w:r>
          <w:r>
            <w:rPr>
              <w:rFonts w:hint="eastAsia" w:ascii="宋体" w:hAnsi="宋体" w:eastAsia="宋体" w:cs="宋体"/>
              <w:sz w:val="21"/>
              <w:szCs w:val="21"/>
            </w:rPr>
            <w:fldChar w:fldCharType="separate"/>
          </w:r>
          <w:r>
            <w:rPr>
              <w:rFonts w:hint="eastAsia" w:ascii="宋体" w:hAnsi="宋体" w:eastAsia="宋体" w:cs="宋体"/>
              <w:sz w:val="21"/>
              <w:szCs w:val="21"/>
            </w:rPr>
            <w:t>57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32DCCEE">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_Toc12296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第六章 坚持扩大内需战略基点 主动融入国内国际双循环</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_Toc12296 \h </w:instrText>
          </w:r>
          <w:r>
            <w:rPr>
              <w:rFonts w:hint="eastAsia" w:ascii="宋体" w:hAnsi="宋体" w:eastAsia="宋体" w:cs="宋体"/>
              <w:sz w:val="21"/>
              <w:szCs w:val="21"/>
            </w:rPr>
            <w:fldChar w:fldCharType="separate"/>
          </w:r>
          <w:r>
            <w:rPr>
              <w:rFonts w:hint="eastAsia" w:ascii="宋体" w:hAnsi="宋体" w:eastAsia="宋体" w:cs="宋体"/>
              <w:sz w:val="21"/>
              <w:szCs w:val="21"/>
            </w:rPr>
            <w:t>59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777FF2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_Toc9850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第一节 推动消费扩容提质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_Toc9850 \h </w:instrText>
          </w:r>
          <w:r>
            <w:rPr>
              <w:rFonts w:hint="eastAsia" w:ascii="宋体" w:hAnsi="宋体" w:eastAsia="宋体" w:cs="宋体"/>
              <w:sz w:val="21"/>
              <w:szCs w:val="21"/>
            </w:rPr>
            <w:fldChar w:fldCharType="separate"/>
          </w:r>
          <w:r>
            <w:rPr>
              <w:rFonts w:hint="eastAsia" w:ascii="宋体" w:hAnsi="宋体" w:eastAsia="宋体" w:cs="宋体"/>
              <w:sz w:val="21"/>
              <w:szCs w:val="21"/>
            </w:rPr>
            <w:t>59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CF199A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_Toc2279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第二节 积极扩大有效投资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_Toc2279 \h </w:instrText>
          </w:r>
          <w:r>
            <w:rPr>
              <w:rFonts w:hint="eastAsia" w:ascii="宋体" w:hAnsi="宋体" w:eastAsia="宋体" w:cs="宋体"/>
              <w:sz w:val="21"/>
              <w:szCs w:val="21"/>
            </w:rPr>
            <w:fldChar w:fldCharType="separate"/>
          </w:r>
          <w:r>
            <w:rPr>
              <w:rFonts w:hint="eastAsia" w:ascii="宋体" w:hAnsi="宋体" w:eastAsia="宋体" w:cs="宋体"/>
              <w:sz w:val="21"/>
              <w:szCs w:val="21"/>
            </w:rPr>
            <w:t>60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81AB49D">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_Toc30340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第三节 壮大发展“飞地经济”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_Toc30340 \h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991C6BB">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_Toc31856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第四节 主动融入区域协调发展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_Toc31856 \h </w:instrText>
          </w:r>
          <w:r>
            <w:rPr>
              <w:rFonts w:hint="eastAsia" w:ascii="宋体" w:hAnsi="宋体" w:eastAsia="宋体" w:cs="宋体"/>
              <w:sz w:val="21"/>
              <w:szCs w:val="21"/>
            </w:rPr>
            <w:fldChar w:fldCharType="separate"/>
          </w:r>
          <w:r>
            <w:rPr>
              <w:rFonts w:hint="eastAsia" w:ascii="宋体" w:hAnsi="宋体" w:eastAsia="宋体" w:cs="宋体"/>
              <w:sz w:val="21"/>
              <w:szCs w:val="21"/>
            </w:rPr>
            <w:t>63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B390847">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_Toc5652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第五节 扩大对外开放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_Toc5652 \h </w:instrText>
          </w:r>
          <w:r>
            <w:rPr>
              <w:rFonts w:hint="eastAsia" w:ascii="宋体" w:hAnsi="宋体" w:eastAsia="宋体" w:cs="宋体"/>
              <w:sz w:val="21"/>
              <w:szCs w:val="21"/>
            </w:rPr>
            <w:fldChar w:fldCharType="separate"/>
          </w:r>
          <w:r>
            <w:rPr>
              <w:rFonts w:hint="eastAsia" w:ascii="宋体" w:hAnsi="宋体" w:eastAsia="宋体" w:cs="宋体"/>
              <w:sz w:val="21"/>
              <w:szCs w:val="21"/>
            </w:rPr>
            <w:t>63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1C0E554">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_Toc16348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第七章 全面深化改革 增强高质量发展动力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_Toc16348 \h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AB1CE05">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_Toc13211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第一节 </w:t>
          </w:r>
          <w:r>
            <w:rPr>
              <w:rFonts w:hint="eastAsia" w:ascii="宋体" w:hAnsi="宋体" w:eastAsia="宋体" w:cs="宋体"/>
              <w:sz w:val="21"/>
              <w:szCs w:val="21"/>
              <w:lang w:val="en-US" w:eastAsia="zh-CN"/>
            </w:rPr>
            <w:t>全面</w:t>
          </w:r>
          <w:r>
            <w:rPr>
              <w:rFonts w:hint="eastAsia" w:ascii="宋体" w:hAnsi="宋体" w:eastAsia="宋体" w:cs="宋体"/>
              <w:sz w:val="21"/>
              <w:szCs w:val="21"/>
            </w:rPr>
            <w:t>优化</w:t>
          </w:r>
          <w:r>
            <w:rPr>
              <w:rFonts w:hint="eastAsia" w:ascii="宋体" w:hAnsi="宋体" w:eastAsia="宋体" w:cs="宋体"/>
              <w:sz w:val="21"/>
              <w:szCs w:val="21"/>
              <w:lang w:val="en-US" w:eastAsia="zh-CN"/>
            </w:rPr>
            <w:t>提升</w:t>
          </w:r>
          <w:r>
            <w:rPr>
              <w:rFonts w:hint="eastAsia" w:ascii="宋体" w:hAnsi="宋体" w:eastAsia="宋体" w:cs="宋体"/>
              <w:sz w:val="21"/>
              <w:szCs w:val="21"/>
            </w:rPr>
            <w:t>营商环境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_Toc13211 \h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0E4E4A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_Toc17804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eastAsia="zh-CN"/>
            </w:rPr>
            <w:t>第二节</w:t>
          </w:r>
          <w:r>
            <w:rPr>
              <w:rFonts w:hint="eastAsia" w:ascii="宋体" w:hAnsi="宋体" w:eastAsia="宋体" w:cs="宋体"/>
              <w:sz w:val="21"/>
              <w:szCs w:val="21"/>
              <w:lang w:val="en-US" w:eastAsia="zh-CN"/>
            </w:rPr>
            <w:t xml:space="preserve"> 持续加强</w:t>
          </w:r>
          <w:r>
            <w:rPr>
              <w:rFonts w:hint="eastAsia" w:ascii="宋体" w:hAnsi="宋体" w:eastAsia="宋体" w:cs="宋体"/>
              <w:sz w:val="21"/>
              <w:szCs w:val="21"/>
              <w:lang w:val="zh-CN" w:eastAsia="zh-CN"/>
            </w:rPr>
            <w:t>招商引资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_Toc17804 \h </w:instrText>
          </w:r>
          <w:r>
            <w:rPr>
              <w:rFonts w:hint="eastAsia" w:ascii="宋体" w:hAnsi="宋体" w:eastAsia="宋体" w:cs="宋体"/>
              <w:sz w:val="21"/>
              <w:szCs w:val="21"/>
            </w:rPr>
            <w:fldChar w:fldCharType="separate"/>
          </w:r>
          <w:r>
            <w:rPr>
              <w:rFonts w:hint="eastAsia"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413889D">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_Toc18139 </w:instrText>
          </w:r>
          <w:r>
            <w:rPr>
              <w:rFonts w:hint="eastAsia" w:ascii="宋体" w:hAnsi="宋体" w:eastAsia="宋体" w:cs="宋体"/>
              <w:sz w:val="21"/>
              <w:szCs w:val="21"/>
            </w:rPr>
            <w:fldChar w:fldCharType="separate"/>
          </w:r>
          <w:r>
            <w:rPr>
              <w:rFonts w:hint="eastAsia" w:ascii="宋体" w:hAnsi="宋体" w:eastAsia="宋体" w:cs="宋体"/>
              <w:sz w:val="21"/>
              <w:szCs w:val="21"/>
            </w:rPr>
            <w:t>第</w:t>
          </w:r>
          <w:r>
            <w:rPr>
              <w:rFonts w:hint="eastAsia" w:ascii="宋体" w:hAnsi="宋体" w:eastAsia="宋体" w:cs="宋体"/>
              <w:sz w:val="21"/>
              <w:szCs w:val="21"/>
              <w:lang w:eastAsia="zh-CN"/>
            </w:rPr>
            <w:t>三</w:t>
          </w:r>
          <w:r>
            <w:rPr>
              <w:rFonts w:hint="eastAsia" w:ascii="宋体" w:hAnsi="宋体" w:eastAsia="宋体" w:cs="宋体"/>
              <w:sz w:val="21"/>
              <w:szCs w:val="21"/>
            </w:rPr>
            <w:t>节 激发</w:t>
          </w:r>
          <w:r>
            <w:rPr>
              <w:rFonts w:hint="eastAsia" w:ascii="宋体" w:hAnsi="宋体" w:eastAsia="宋体" w:cs="宋体"/>
              <w:sz w:val="21"/>
              <w:szCs w:val="21"/>
              <w:lang w:val="en-US" w:eastAsia="zh-CN"/>
            </w:rPr>
            <w:t>保持</w:t>
          </w:r>
          <w:r>
            <w:rPr>
              <w:rFonts w:hint="eastAsia" w:ascii="宋体" w:hAnsi="宋体" w:eastAsia="宋体" w:cs="宋体"/>
              <w:sz w:val="21"/>
              <w:szCs w:val="21"/>
            </w:rPr>
            <w:t>市场主体活力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_Toc18139 \h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9298782">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_Toc24957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第四节</w:t>
          </w:r>
          <w:r>
            <w:rPr>
              <w:rFonts w:hint="eastAsia" w:ascii="宋体" w:hAnsi="宋体" w:eastAsia="宋体" w:cs="宋体"/>
              <w:sz w:val="21"/>
              <w:szCs w:val="21"/>
              <w:lang w:val="en-US" w:eastAsia="zh-CN"/>
            </w:rPr>
            <w:t xml:space="preserve"> 加快建设高标准市场体系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_Toc24957 \h </w:instrText>
          </w:r>
          <w:r>
            <w:rPr>
              <w:rFonts w:hint="eastAsia" w:ascii="宋体" w:hAnsi="宋体" w:eastAsia="宋体" w:cs="宋体"/>
              <w:sz w:val="21"/>
              <w:szCs w:val="21"/>
            </w:rPr>
            <w:fldChar w:fldCharType="separate"/>
          </w:r>
          <w:r>
            <w:rPr>
              <w:rFonts w:hint="eastAsia" w:ascii="宋体" w:hAnsi="宋体" w:eastAsia="宋体" w:cs="宋体"/>
              <w:sz w:val="21"/>
              <w:szCs w:val="21"/>
            </w:rPr>
            <w:t>72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8C0E095">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_Toc10776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第八章 优化空间产业布局 推进新型城镇化建设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_Toc10776 \h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0584156">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_Toc27187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国土空间布局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_Toc27187 \h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ABE465D">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_Toc29140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产业发展布局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_Toc29140 \h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B5E3998">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_Toc518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新型城镇化建设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_Toc518 \h </w:instrText>
          </w:r>
          <w:r>
            <w:rPr>
              <w:rFonts w:hint="eastAsia" w:ascii="宋体" w:hAnsi="宋体" w:eastAsia="宋体" w:cs="宋体"/>
              <w:sz w:val="21"/>
              <w:szCs w:val="21"/>
            </w:rPr>
            <w:fldChar w:fldCharType="separate"/>
          </w:r>
          <w:r>
            <w:rPr>
              <w:rFonts w:hint="eastAsia" w:ascii="宋体" w:hAnsi="宋体" w:eastAsia="宋体" w:cs="宋体"/>
              <w:sz w:val="21"/>
              <w:szCs w:val="21"/>
            </w:rPr>
            <w:t>77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31A141E">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_Toc8028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第九章 繁荣文化事业 提升文化软实力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_Toc8028 \h </w:instrText>
          </w:r>
          <w:r>
            <w:rPr>
              <w:rFonts w:hint="eastAsia" w:ascii="宋体" w:hAnsi="宋体" w:eastAsia="宋体" w:cs="宋体"/>
              <w:sz w:val="21"/>
              <w:szCs w:val="21"/>
            </w:rPr>
            <w:fldChar w:fldCharType="separate"/>
          </w:r>
          <w:r>
            <w:rPr>
              <w:rFonts w:hint="eastAsia" w:ascii="宋体" w:hAnsi="宋体" w:eastAsia="宋体" w:cs="宋体"/>
              <w:sz w:val="21"/>
              <w:szCs w:val="21"/>
            </w:rPr>
            <w:t>79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CE75A4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_Toc21512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推进文明白云建设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_Toc21512 \h </w:instrText>
          </w:r>
          <w:r>
            <w:rPr>
              <w:rFonts w:hint="eastAsia" w:ascii="宋体" w:hAnsi="宋体" w:eastAsia="宋体" w:cs="宋体"/>
              <w:sz w:val="21"/>
              <w:szCs w:val="21"/>
            </w:rPr>
            <w:fldChar w:fldCharType="separate"/>
          </w:r>
          <w:r>
            <w:rPr>
              <w:rFonts w:hint="eastAsia" w:ascii="宋体" w:hAnsi="宋体" w:eastAsia="宋体" w:cs="宋体"/>
              <w:sz w:val="21"/>
              <w:szCs w:val="21"/>
            </w:rPr>
            <w:t>79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061C88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_Toc27815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提升公共文化服务水平</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_Toc27815 \h </w:instrText>
          </w:r>
          <w:r>
            <w:rPr>
              <w:rFonts w:hint="eastAsia" w:ascii="宋体" w:hAnsi="宋体" w:eastAsia="宋体" w:cs="宋体"/>
              <w:sz w:val="21"/>
              <w:szCs w:val="21"/>
            </w:rPr>
            <w:fldChar w:fldCharType="separate"/>
          </w:r>
          <w:r>
            <w:rPr>
              <w:rFonts w:hint="eastAsia" w:ascii="宋体" w:hAnsi="宋体" w:eastAsia="宋体" w:cs="宋体"/>
              <w:sz w:val="21"/>
              <w:szCs w:val="21"/>
            </w:rPr>
            <w:t>80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B6B7C56">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_Toc10452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推进文化旅游业融合发展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_Toc10452 \h </w:instrText>
          </w:r>
          <w:r>
            <w:rPr>
              <w:rFonts w:hint="eastAsia" w:ascii="宋体" w:hAnsi="宋体" w:eastAsia="宋体" w:cs="宋体"/>
              <w:sz w:val="21"/>
              <w:szCs w:val="21"/>
            </w:rPr>
            <w:fldChar w:fldCharType="separate"/>
          </w:r>
          <w:r>
            <w:rPr>
              <w:rFonts w:hint="eastAsia" w:ascii="宋体" w:hAnsi="宋体" w:eastAsia="宋体" w:cs="宋体"/>
              <w:sz w:val="21"/>
              <w:szCs w:val="21"/>
            </w:rPr>
            <w:t>82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2AB56F6">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_Toc9311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第十章 坚持生态优先 打造祖国北方生态安全屏障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_Toc9311 \h </w:instrText>
          </w:r>
          <w:r>
            <w:rPr>
              <w:rFonts w:hint="eastAsia" w:ascii="宋体" w:hAnsi="宋体" w:eastAsia="宋体" w:cs="宋体"/>
              <w:sz w:val="21"/>
              <w:szCs w:val="21"/>
            </w:rPr>
            <w:fldChar w:fldCharType="separate"/>
          </w:r>
          <w:r>
            <w:rPr>
              <w:rFonts w:hint="eastAsia" w:ascii="宋体" w:hAnsi="宋体" w:eastAsia="宋体" w:cs="宋体"/>
              <w:sz w:val="21"/>
              <w:szCs w:val="21"/>
            </w:rPr>
            <w:t>85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CD88F3D">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_Toc6910 </w:instrText>
          </w:r>
          <w:r>
            <w:rPr>
              <w:rFonts w:hint="eastAsia" w:ascii="宋体" w:hAnsi="宋体" w:eastAsia="宋体" w:cs="宋体"/>
              <w:sz w:val="21"/>
              <w:szCs w:val="21"/>
            </w:rPr>
            <w:fldChar w:fldCharType="separate"/>
          </w:r>
          <w:r>
            <w:rPr>
              <w:rFonts w:hint="eastAsia" w:ascii="宋体" w:hAnsi="宋体" w:eastAsia="宋体" w:cs="宋体"/>
              <w:sz w:val="21"/>
              <w:szCs w:val="21"/>
            </w:rPr>
            <w:t>第一节 加强生态保护和修复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_Toc6910 \h </w:instrText>
          </w:r>
          <w:r>
            <w:rPr>
              <w:rFonts w:hint="eastAsia" w:ascii="宋体" w:hAnsi="宋体" w:eastAsia="宋体" w:cs="宋体"/>
              <w:sz w:val="21"/>
              <w:szCs w:val="21"/>
            </w:rPr>
            <w:fldChar w:fldCharType="separate"/>
          </w:r>
          <w:r>
            <w:rPr>
              <w:rFonts w:hint="eastAsia" w:ascii="宋体" w:hAnsi="宋体" w:eastAsia="宋体" w:cs="宋体"/>
              <w:sz w:val="21"/>
              <w:szCs w:val="21"/>
            </w:rPr>
            <w:t>85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FC4603F">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sectPr>
              <w:footerReference r:id="rId5" w:type="default"/>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BC4DCC2">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_Toc20236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改善提升环境质量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_Toc20236 \h </w:instrText>
          </w:r>
          <w:r>
            <w:rPr>
              <w:rFonts w:hint="eastAsia" w:ascii="宋体" w:hAnsi="宋体" w:eastAsia="宋体" w:cs="宋体"/>
              <w:sz w:val="21"/>
              <w:szCs w:val="21"/>
            </w:rPr>
            <w:fldChar w:fldCharType="separate"/>
          </w:r>
          <w:r>
            <w:rPr>
              <w:rFonts w:hint="eastAsia" w:ascii="宋体" w:hAnsi="宋体" w:eastAsia="宋体" w:cs="宋体"/>
              <w:sz w:val="21"/>
              <w:szCs w:val="21"/>
            </w:rPr>
            <w:t>88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38D0916">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_Toc12302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第三节 </w:t>
          </w:r>
          <w:r>
            <w:rPr>
              <w:rFonts w:hint="eastAsia" w:ascii="宋体" w:hAnsi="宋体" w:eastAsia="宋体" w:cs="宋体"/>
              <w:sz w:val="21"/>
              <w:szCs w:val="21"/>
              <w:lang w:val="en-US" w:eastAsia="zh-CN"/>
            </w:rPr>
            <w:t>推动</w:t>
          </w:r>
          <w:r>
            <w:rPr>
              <w:rFonts w:hint="eastAsia" w:ascii="宋体" w:hAnsi="宋体" w:eastAsia="宋体" w:cs="宋体"/>
              <w:sz w:val="21"/>
              <w:szCs w:val="21"/>
            </w:rPr>
            <w:t>绿色循环低碳发展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_Toc12302 \h </w:instrText>
          </w:r>
          <w:r>
            <w:rPr>
              <w:rFonts w:hint="eastAsia" w:ascii="宋体" w:hAnsi="宋体" w:eastAsia="宋体" w:cs="宋体"/>
              <w:sz w:val="21"/>
              <w:szCs w:val="21"/>
            </w:rPr>
            <w:fldChar w:fldCharType="separate"/>
          </w:r>
          <w:r>
            <w:rPr>
              <w:rFonts w:hint="eastAsia" w:ascii="宋体" w:hAnsi="宋体" w:eastAsia="宋体" w:cs="宋体"/>
              <w:sz w:val="21"/>
              <w:szCs w:val="21"/>
            </w:rPr>
            <w:t>89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A7942F2">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_Toc1719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第四节 </w:t>
          </w:r>
          <w:r>
            <w:rPr>
              <w:rFonts w:hint="eastAsia" w:ascii="宋体" w:hAnsi="宋体" w:eastAsia="宋体" w:cs="宋体"/>
              <w:sz w:val="21"/>
              <w:szCs w:val="21"/>
              <w:lang w:val="en-US" w:eastAsia="zh-CN"/>
            </w:rPr>
            <w:t>倡导</w:t>
          </w:r>
          <w:r>
            <w:rPr>
              <w:rFonts w:hint="eastAsia" w:ascii="宋体" w:hAnsi="宋体" w:eastAsia="宋体" w:cs="宋体"/>
              <w:sz w:val="21"/>
              <w:szCs w:val="21"/>
            </w:rPr>
            <w:t>绿色生产生活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_Toc1719 \h </w:instrText>
          </w:r>
          <w:r>
            <w:rPr>
              <w:rFonts w:hint="eastAsia" w:ascii="宋体" w:hAnsi="宋体" w:eastAsia="宋体" w:cs="宋体"/>
              <w:sz w:val="21"/>
              <w:szCs w:val="21"/>
            </w:rPr>
            <w:fldChar w:fldCharType="separate"/>
          </w:r>
          <w:r>
            <w:rPr>
              <w:rFonts w:hint="eastAsia" w:ascii="宋体" w:hAnsi="宋体" w:eastAsia="宋体" w:cs="宋体"/>
              <w:sz w:val="21"/>
              <w:szCs w:val="21"/>
            </w:rPr>
            <w:t>91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79FCD77">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第十一章 提高完善社会保障 增强人民群众幸福感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_Toc540 \h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A330AF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_Toc3200 </w:instrText>
          </w:r>
          <w:r>
            <w:rPr>
              <w:rFonts w:hint="eastAsia" w:ascii="宋体" w:hAnsi="宋体" w:eastAsia="宋体" w:cs="宋体"/>
              <w:sz w:val="21"/>
              <w:szCs w:val="21"/>
            </w:rPr>
            <w:fldChar w:fldCharType="separate"/>
          </w:r>
          <w:r>
            <w:rPr>
              <w:rFonts w:hint="eastAsia" w:ascii="宋体" w:hAnsi="宋体" w:eastAsia="宋体" w:cs="宋体"/>
              <w:sz w:val="21"/>
              <w:szCs w:val="21"/>
            </w:rPr>
            <w:t>第一节 推进教育优质均衡发展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_Toc3200 \h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502648E">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_Toc18315 </w:instrText>
          </w:r>
          <w:r>
            <w:rPr>
              <w:rFonts w:hint="eastAsia" w:ascii="宋体" w:hAnsi="宋体" w:eastAsia="宋体" w:cs="宋体"/>
              <w:sz w:val="21"/>
              <w:szCs w:val="21"/>
            </w:rPr>
            <w:fldChar w:fldCharType="separate"/>
          </w:r>
          <w:r>
            <w:rPr>
              <w:rFonts w:hint="eastAsia" w:ascii="宋体" w:hAnsi="宋体" w:eastAsia="宋体" w:cs="宋体"/>
              <w:sz w:val="21"/>
              <w:szCs w:val="21"/>
            </w:rPr>
            <w:t>第</w:t>
          </w:r>
          <w:r>
            <w:rPr>
              <w:rFonts w:hint="eastAsia" w:ascii="宋体" w:hAnsi="宋体" w:eastAsia="宋体" w:cs="宋体"/>
              <w:sz w:val="21"/>
              <w:szCs w:val="21"/>
              <w:lang w:eastAsia="zh-CN"/>
            </w:rPr>
            <w:t>二节</w:t>
          </w:r>
          <w:r>
            <w:rPr>
              <w:rFonts w:hint="eastAsia" w:ascii="宋体" w:hAnsi="宋体" w:eastAsia="宋体" w:cs="宋体"/>
              <w:sz w:val="21"/>
              <w:szCs w:val="21"/>
            </w:rPr>
            <w:t xml:space="preserve"> 统筹</w:t>
          </w:r>
          <w:r>
            <w:rPr>
              <w:rFonts w:hint="eastAsia" w:ascii="宋体" w:hAnsi="宋体" w:eastAsia="宋体" w:cs="宋体"/>
              <w:sz w:val="21"/>
              <w:szCs w:val="21"/>
              <w:lang w:eastAsia="zh-CN"/>
            </w:rPr>
            <w:t>推进社会保障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_Toc18315 \h </w:instrText>
          </w:r>
          <w:r>
            <w:rPr>
              <w:rFonts w:hint="eastAsia" w:ascii="宋体" w:hAnsi="宋体" w:eastAsia="宋体" w:cs="宋体"/>
              <w:sz w:val="21"/>
              <w:szCs w:val="21"/>
            </w:rPr>
            <w:fldChar w:fldCharType="separate"/>
          </w:r>
          <w:r>
            <w:rPr>
              <w:rFonts w:hint="eastAsia" w:ascii="宋体" w:hAnsi="宋体" w:eastAsia="宋体" w:cs="宋体"/>
              <w:sz w:val="21"/>
              <w:szCs w:val="21"/>
            </w:rPr>
            <w:t>95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E56DE9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_Toc22518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第三节</w:t>
          </w:r>
          <w:r>
            <w:rPr>
              <w:rFonts w:hint="eastAsia" w:ascii="宋体" w:hAnsi="宋体" w:eastAsia="宋体" w:cs="宋体"/>
              <w:sz w:val="21"/>
              <w:szCs w:val="21"/>
              <w:lang w:val="en-US" w:eastAsia="zh-CN"/>
            </w:rPr>
            <w:t xml:space="preserve"> 提高医疗服务能力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_Toc22518 \h </w:instrText>
          </w:r>
          <w:r>
            <w:rPr>
              <w:rFonts w:hint="eastAsia" w:ascii="宋体" w:hAnsi="宋体" w:eastAsia="宋体" w:cs="宋体"/>
              <w:sz w:val="21"/>
              <w:szCs w:val="21"/>
            </w:rPr>
            <w:fldChar w:fldCharType="separate"/>
          </w:r>
          <w:r>
            <w:rPr>
              <w:rFonts w:hint="eastAsia" w:ascii="宋体" w:hAnsi="宋体" w:eastAsia="宋体" w:cs="宋体"/>
              <w:sz w:val="21"/>
              <w:szCs w:val="21"/>
            </w:rPr>
            <w:t>96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7A1B717">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_Toc12670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第四节 加强社会治理能力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_Toc12670 \h </w:instrText>
          </w:r>
          <w:r>
            <w:rPr>
              <w:rFonts w:hint="eastAsia" w:ascii="宋体" w:hAnsi="宋体" w:eastAsia="宋体" w:cs="宋体"/>
              <w:sz w:val="21"/>
              <w:szCs w:val="21"/>
            </w:rPr>
            <w:fldChar w:fldCharType="separate"/>
          </w:r>
          <w:r>
            <w:rPr>
              <w:rFonts w:hint="eastAsia" w:ascii="宋体" w:hAnsi="宋体" w:eastAsia="宋体" w:cs="宋体"/>
              <w:sz w:val="21"/>
              <w:szCs w:val="21"/>
            </w:rPr>
            <w:t>98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A595B10">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_Toc22076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第五节 促进人口均衡发展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_Toc22076 \h </w:instrText>
          </w:r>
          <w:r>
            <w:rPr>
              <w:rFonts w:hint="eastAsia" w:ascii="宋体" w:hAnsi="宋体" w:eastAsia="宋体" w:cs="宋体"/>
              <w:sz w:val="21"/>
              <w:szCs w:val="21"/>
            </w:rPr>
            <w:fldChar w:fldCharType="separate"/>
          </w:r>
          <w:r>
            <w:rPr>
              <w:rFonts w:hint="eastAsia" w:ascii="宋体" w:hAnsi="宋体" w:eastAsia="宋体" w:cs="宋体"/>
              <w:sz w:val="21"/>
              <w:szCs w:val="21"/>
            </w:rPr>
            <w:t>99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E4E0995">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_Toc7920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第十二章 统筹发展和安全 构筑祖国北疆安全稳定屏障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_Toc7920 \h </w:instrText>
          </w:r>
          <w:r>
            <w:rPr>
              <w:rFonts w:hint="eastAsia" w:ascii="宋体" w:hAnsi="宋体" w:eastAsia="宋体" w:cs="宋体"/>
              <w:sz w:val="21"/>
              <w:szCs w:val="21"/>
            </w:rPr>
            <w:fldChar w:fldCharType="separate"/>
          </w:r>
          <w:r>
            <w:rPr>
              <w:rFonts w:hint="eastAsia" w:ascii="宋体" w:hAnsi="宋体" w:eastAsia="宋体" w:cs="宋体"/>
              <w:sz w:val="21"/>
              <w:szCs w:val="21"/>
            </w:rPr>
            <w:t>101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6093378">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_Toc32569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加强国家安全意识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_Toc32569 \h </w:instrText>
          </w:r>
          <w:r>
            <w:rPr>
              <w:rFonts w:hint="eastAsia" w:ascii="宋体" w:hAnsi="宋体" w:eastAsia="宋体" w:cs="宋体"/>
              <w:sz w:val="21"/>
              <w:szCs w:val="21"/>
            </w:rPr>
            <w:fldChar w:fldCharType="separate"/>
          </w:r>
          <w:r>
            <w:rPr>
              <w:rFonts w:hint="eastAsia" w:ascii="宋体" w:hAnsi="宋体" w:eastAsia="宋体" w:cs="宋体"/>
              <w:sz w:val="21"/>
              <w:szCs w:val="21"/>
            </w:rPr>
            <w:t>101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234DC22">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_Toc20893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做好民族宗教工作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_Toc20893 \h </w:instrText>
          </w:r>
          <w:r>
            <w:rPr>
              <w:rFonts w:hint="eastAsia" w:ascii="宋体" w:hAnsi="宋体" w:eastAsia="宋体" w:cs="宋体"/>
              <w:sz w:val="21"/>
              <w:szCs w:val="21"/>
            </w:rPr>
            <w:fldChar w:fldCharType="separate"/>
          </w:r>
          <w:r>
            <w:rPr>
              <w:rFonts w:hint="eastAsia" w:ascii="宋体" w:hAnsi="宋体" w:eastAsia="宋体" w:cs="宋体"/>
              <w:sz w:val="21"/>
              <w:szCs w:val="21"/>
            </w:rPr>
            <w:t>102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93E2147">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_Toc22887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提高风险化解能力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_Toc22887 \h </w:instrText>
          </w:r>
          <w:r>
            <w:rPr>
              <w:rFonts w:hint="eastAsia" w:ascii="宋体" w:hAnsi="宋体" w:eastAsia="宋体" w:cs="宋体"/>
              <w:sz w:val="21"/>
              <w:szCs w:val="21"/>
            </w:rPr>
            <w:fldChar w:fldCharType="separate"/>
          </w:r>
          <w:r>
            <w:rPr>
              <w:rFonts w:hint="eastAsia" w:ascii="宋体" w:hAnsi="宋体" w:eastAsia="宋体" w:cs="宋体"/>
              <w:sz w:val="21"/>
              <w:szCs w:val="21"/>
            </w:rPr>
            <w:t>104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D28E930">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_Toc31513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第四节 保障人民安居乐业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_Toc31513 \h </w:instrText>
          </w:r>
          <w:r>
            <w:rPr>
              <w:rFonts w:hint="eastAsia" w:ascii="宋体" w:hAnsi="宋体" w:eastAsia="宋体" w:cs="宋体"/>
              <w:sz w:val="21"/>
              <w:szCs w:val="21"/>
            </w:rPr>
            <w:fldChar w:fldCharType="separate"/>
          </w:r>
          <w:r>
            <w:rPr>
              <w:rFonts w:hint="eastAsia" w:ascii="宋体" w:hAnsi="宋体" w:eastAsia="宋体" w:cs="宋体"/>
              <w:sz w:val="21"/>
              <w:szCs w:val="21"/>
            </w:rPr>
            <w:t>105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650FC2A">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第五节 维护社会稳定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_Toc2302 \h </w:instrText>
          </w:r>
          <w:r>
            <w:rPr>
              <w:rFonts w:hint="eastAsia" w:ascii="宋体" w:hAnsi="宋体" w:eastAsia="宋体" w:cs="宋体"/>
              <w:sz w:val="21"/>
              <w:szCs w:val="21"/>
            </w:rPr>
            <w:fldChar w:fldCharType="separate"/>
          </w:r>
          <w:r>
            <w:rPr>
              <w:rFonts w:hint="eastAsia" w:ascii="宋体" w:hAnsi="宋体" w:eastAsia="宋体" w:cs="宋体"/>
              <w:sz w:val="21"/>
              <w:szCs w:val="21"/>
            </w:rPr>
            <w:t>107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218CDC3">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_Toc27600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第十三章 加强党的全面领导 确保规划如期实施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_Toc27600 \h </w:instrText>
          </w:r>
          <w:r>
            <w:rPr>
              <w:rFonts w:hint="eastAsia" w:ascii="宋体" w:hAnsi="宋体" w:eastAsia="宋体" w:cs="宋体"/>
              <w:sz w:val="21"/>
              <w:szCs w:val="21"/>
            </w:rPr>
            <w:fldChar w:fldCharType="separate"/>
          </w:r>
          <w:r>
            <w:rPr>
              <w:rFonts w:hint="eastAsia"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5B57B2A">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_Toc11659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第一节  </w:t>
          </w:r>
          <w:r>
            <w:rPr>
              <w:rFonts w:hint="eastAsia" w:ascii="宋体" w:hAnsi="宋体" w:eastAsia="宋体" w:cs="宋体"/>
              <w:sz w:val="21"/>
              <w:szCs w:val="21"/>
              <w:lang w:eastAsia="zh-CN"/>
            </w:rPr>
            <w:t>加强</w:t>
          </w:r>
          <w:r>
            <w:rPr>
              <w:rFonts w:hint="eastAsia" w:ascii="宋体" w:hAnsi="宋体" w:eastAsia="宋体" w:cs="宋体"/>
              <w:sz w:val="21"/>
              <w:szCs w:val="21"/>
            </w:rPr>
            <w:t>党</w:t>
          </w:r>
          <w:r>
            <w:rPr>
              <w:rFonts w:hint="eastAsia" w:ascii="宋体" w:hAnsi="宋体" w:eastAsia="宋体" w:cs="宋体"/>
              <w:sz w:val="21"/>
              <w:szCs w:val="21"/>
              <w:lang w:eastAsia="zh-CN"/>
            </w:rPr>
            <w:t>的统一</w:t>
          </w:r>
          <w:r>
            <w:rPr>
              <w:rFonts w:hint="eastAsia" w:ascii="宋体" w:hAnsi="宋体" w:eastAsia="宋体" w:cs="宋体"/>
              <w:sz w:val="21"/>
              <w:szCs w:val="21"/>
            </w:rPr>
            <w:t>领导</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_Toc11659 \h </w:instrText>
          </w:r>
          <w:r>
            <w:rPr>
              <w:rFonts w:hint="eastAsia" w:ascii="宋体" w:hAnsi="宋体" w:eastAsia="宋体" w:cs="宋体"/>
              <w:sz w:val="21"/>
              <w:szCs w:val="21"/>
            </w:rPr>
            <w:fldChar w:fldCharType="separate"/>
          </w:r>
          <w:r>
            <w:rPr>
              <w:rFonts w:hint="eastAsia"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4E7EC3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_Toc15035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第二节</w:t>
          </w:r>
          <w:r>
            <w:rPr>
              <w:rFonts w:hint="eastAsia" w:ascii="宋体" w:hAnsi="宋体" w:eastAsia="宋体" w:cs="宋体"/>
              <w:sz w:val="21"/>
              <w:szCs w:val="21"/>
              <w:lang w:val="en-US" w:eastAsia="zh-CN"/>
            </w:rPr>
            <w:t xml:space="preserve"> 加强考核评估监督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_Toc15035 \h </w:instrText>
          </w:r>
          <w:r>
            <w:rPr>
              <w:rFonts w:hint="eastAsia" w:ascii="宋体" w:hAnsi="宋体" w:eastAsia="宋体" w:cs="宋体"/>
              <w:sz w:val="21"/>
              <w:szCs w:val="21"/>
            </w:rPr>
            <w:fldChar w:fldCharType="separate"/>
          </w:r>
          <w:r>
            <w:rPr>
              <w:rFonts w:hint="eastAsia" w:ascii="宋体" w:hAnsi="宋体" w:eastAsia="宋体" w:cs="宋体"/>
              <w:sz w:val="21"/>
              <w:szCs w:val="21"/>
            </w:rPr>
            <w:t>110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F2DC4E8">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_Toc10550 </w:instrText>
          </w:r>
          <w:r>
            <w:rPr>
              <w:rFonts w:hint="eastAsia" w:ascii="宋体" w:hAnsi="宋体" w:eastAsia="宋体" w:cs="宋体"/>
              <w:sz w:val="21"/>
              <w:szCs w:val="21"/>
            </w:rPr>
            <w:fldChar w:fldCharType="separate"/>
          </w:r>
          <w:r>
            <w:rPr>
              <w:rFonts w:hint="eastAsia" w:ascii="宋体" w:hAnsi="宋体" w:eastAsia="宋体" w:cs="宋体"/>
              <w:sz w:val="21"/>
              <w:szCs w:val="21"/>
            </w:rPr>
            <w:t>第</w:t>
          </w:r>
          <w:r>
            <w:rPr>
              <w:rFonts w:hint="eastAsia" w:ascii="宋体" w:hAnsi="宋体" w:eastAsia="宋体" w:cs="宋体"/>
              <w:sz w:val="21"/>
              <w:szCs w:val="21"/>
              <w:lang w:eastAsia="zh-CN"/>
            </w:rPr>
            <w:t>三</w:t>
          </w:r>
          <w:r>
            <w:rPr>
              <w:rFonts w:hint="eastAsia" w:ascii="宋体" w:hAnsi="宋体" w:eastAsia="宋体" w:cs="宋体"/>
              <w:sz w:val="21"/>
              <w:szCs w:val="21"/>
            </w:rPr>
            <w:t>节 强化规划分工落实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_Toc10550 \h </w:instrText>
          </w:r>
          <w:r>
            <w:rPr>
              <w:rFonts w:hint="eastAsia" w:ascii="宋体" w:hAnsi="宋体" w:eastAsia="宋体" w:cs="宋体"/>
              <w:sz w:val="21"/>
              <w:szCs w:val="21"/>
            </w:rPr>
            <w:fldChar w:fldCharType="separate"/>
          </w:r>
          <w:r>
            <w:rPr>
              <w:rFonts w:hint="eastAsia" w:ascii="宋体" w:hAnsi="宋体" w:eastAsia="宋体" w:cs="宋体"/>
              <w:sz w:val="21"/>
              <w:szCs w:val="21"/>
            </w:rPr>
            <w:t>110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DA0A370">
          <w:pPr>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ascii="宋体" w:hAnsi="宋体" w:eastAsia="宋体" w:cs="宋体"/>
              <w:sz w:val="21"/>
              <w:szCs w:val="21"/>
            </w:rPr>
            <w:fldChar w:fldCharType="end"/>
          </w:r>
        </w:p>
      </w:sdtContent>
    </w:sdt>
    <w:p w14:paraId="11B8DF8F">
      <w:pPr>
        <w:pStyle w:val="26"/>
        <w:pageBreakBefore w:val="0"/>
        <w:kinsoku/>
        <w:wordWrap/>
        <w:overflowPunct/>
        <w:topLinePunct w:val="0"/>
        <w:autoSpaceDE/>
        <w:autoSpaceDN/>
        <w:bidi w:val="0"/>
        <w:spacing w:line="520" w:lineRule="exact"/>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  </w:t>
      </w:r>
    </w:p>
    <w:p w14:paraId="78D6F8C1">
      <w:pPr>
        <w:pStyle w:val="26"/>
        <w:pageBreakBefore w:val="0"/>
        <w:kinsoku/>
        <w:wordWrap/>
        <w:overflowPunct/>
        <w:topLinePunct w:val="0"/>
        <w:autoSpaceDE/>
        <w:autoSpaceDN/>
        <w:bidi w:val="0"/>
        <w:spacing w:line="520" w:lineRule="exact"/>
        <w:jc w:val="both"/>
        <w:textAlignment w:val="auto"/>
        <w:rPr>
          <w:rFonts w:hint="eastAsia" w:ascii="仿宋" w:hAnsi="仿宋" w:eastAsia="仿宋" w:cs="仿宋"/>
          <w:bCs/>
          <w:sz w:val="24"/>
          <w:szCs w:val="24"/>
          <w:lang w:val="en-US" w:eastAsia="zh-CN"/>
        </w:rPr>
      </w:pPr>
    </w:p>
    <w:p w14:paraId="41967184">
      <w:pPr>
        <w:pStyle w:val="26"/>
        <w:pageBreakBefore w:val="0"/>
        <w:kinsoku/>
        <w:wordWrap/>
        <w:overflowPunct/>
        <w:topLinePunct w:val="0"/>
        <w:autoSpaceDE/>
        <w:autoSpaceDN/>
        <w:bidi w:val="0"/>
        <w:spacing w:line="520" w:lineRule="exact"/>
        <w:jc w:val="both"/>
        <w:textAlignment w:val="auto"/>
        <w:rPr>
          <w:rFonts w:hint="eastAsia" w:ascii="仿宋" w:hAnsi="仿宋" w:eastAsia="仿宋" w:cs="仿宋"/>
          <w:bCs/>
          <w:sz w:val="24"/>
          <w:szCs w:val="24"/>
          <w:lang w:val="en-US" w:eastAsia="zh-CN"/>
        </w:rPr>
        <w:sectPr>
          <w:footerReference r:id="rId6" w:type="default"/>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2680D1A">
      <w:pPr>
        <w:pStyle w:val="26"/>
        <w:pageBreakBefore w:val="0"/>
        <w:kinsoku/>
        <w:wordWrap/>
        <w:overflowPunct/>
        <w:topLinePunct w:val="0"/>
        <w:autoSpaceDE/>
        <w:autoSpaceDN/>
        <w:bidi w:val="0"/>
        <w:spacing w:line="520" w:lineRule="exact"/>
        <w:jc w:val="both"/>
        <w:textAlignment w:val="auto"/>
        <w:rPr>
          <w:rFonts w:hint="eastAsia" w:ascii="仿宋" w:hAnsi="仿宋" w:eastAsia="仿宋" w:cs="仿宋"/>
          <w:bCs/>
          <w:sz w:val="24"/>
          <w:szCs w:val="24"/>
          <w:lang w:val="en-US" w:eastAsia="zh-CN"/>
        </w:rPr>
      </w:pPr>
    </w:p>
    <w:p w14:paraId="36B82C05">
      <w:pPr>
        <w:pStyle w:val="26"/>
        <w:pageBreakBefore w:val="0"/>
        <w:kinsoku/>
        <w:wordWrap/>
        <w:overflowPunct/>
        <w:topLinePunct w:val="0"/>
        <w:autoSpaceDE/>
        <w:autoSpaceDN/>
        <w:bidi w:val="0"/>
        <w:spacing w:line="520" w:lineRule="exact"/>
        <w:jc w:val="both"/>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十四五”时期（2021一2025年）是我国全面建成小康社会、实现第一个百年奋斗目标之后，乘势而上开启全面建设社会主义现代化国家新征程、向第二个百年奋斗目标进军的第一个五年，也是白云鄂博矿区（简称白云矿区）贯彻探索“生态优先，绿色发展”为导向的高质量发展新路子的关键时期。根据《中共白云鄂博矿区委员会关于制定国民经济和社会发展第十四个五年规划和二〇三五年远景目标的建议》，制定《白云鄂博矿区国民经济和社会发展第十四个五年规划和2035年远景目标纲要》。</w:t>
      </w:r>
    </w:p>
    <w:p w14:paraId="7F1BB886">
      <w:pPr>
        <w:pStyle w:val="24"/>
        <w:pageBreakBefore w:val="0"/>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p>
    <w:p w14:paraId="2ED26E5A">
      <w:pPr>
        <w:pStyle w:val="3"/>
        <w:pageBreakBefore w:val="0"/>
        <w:numPr>
          <w:ilvl w:val="0"/>
          <w:numId w:val="1"/>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r>
        <w:rPr>
          <w:rFonts w:hint="eastAsia" w:ascii="Cambria" w:hAnsi="Cambria" w:eastAsia="方正黑体简体" w:cs="Times New Roman"/>
          <w:b w:val="0"/>
          <w:bCs/>
          <w:kern w:val="0"/>
          <w:sz w:val="28"/>
          <w:szCs w:val="32"/>
          <w:lang w:val="en-US" w:eastAsia="zh-CN" w:bidi="ar-SA"/>
        </w:rPr>
        <w:t xml:space="preserve"> </w:t>
      </w:r>
      <w:bookmarkStart w:id="61" w:name="_Toc28138"/>
      <w:bookmarkStart w:id="62" w:name="_Toc2387"/>
      <w:bookmarkStart w:id="63" w:name="_Toc5959"/>
      <w:r>
        <w:rPr>
          <w:rFonts w:hint="eastAsia" w:ascii="Cambria" w:hAnsi="Cambria" w:eastAsia="方正黑体简体" w:cs="Times New Roman"/>
          <w:b w:val="0"/>
          <w:bCs/>
          <w:kern w:val="0"/>
          <w:sz w:val="28"/>
          <w:szCs w:val="32"/>
          <w:lang w:val="en-US" w:eastAsia="zh-CN" w:bidi="ar-SA"/>
        </w:rPr>
        <w:t>全面建成小康社会</w:t>
      </w:r>
      <w:bookmarkEnd w:id="61"/>
      <w:bookmarkEnd w:id="62"/>
      <w:bookmarkEnd w:id="63"/>
      <w:r>
        <w:rPr>
          <w:rFonts w:hint="eastAsia" w:ascii="Cambria" w:hAnsi="Cambria" w:eastAsia="方正黑体简体" w:cs="Times New Roman"/>
          <w:b w:val="0"/>
          <w:bCs/>
          <w:kern w:val="0"/>
          <w:sz w:val="28"/>
          <w:szCs w:val="32"/>
          <w:lang w:val="en-US" w:eastAsia="zh-CN" w:bidi="ar-SA"/>
        </w:rPr>
        <w:t xml:space="preserve"> </w:t>
      </w:r>
    </w:p>
    <w:p w14:paraId="4523075D">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64" w:name="_Toc4351"/>
      <w:bookmarkStart w:id="65" w:name="_Toc30747"/>
      <w:bookmarkStart w:id="66" w:name="_Toc5582"/>
      <w:r>
        <w:rPr>
          <w:rFonts w:hint="eastAsia" w:ascii="Cambria" w:hAnsi="Cambria" w:eastAsia="方正黑体简体" w:cs="Times New Roman"/>
          <w:b w:val="0"/>
          <w:bCs/>
          <w:kern w:val="0"/>
          <w:sz w:val="28"/>
          <w:szCs w:val="32"/>
          <w:lang w:val="en-US" w:eastAsia="zh-CN" w:bidi="ar-SA"/>
        </w:rPr>
        <w:t>开启社会主义现代化建设新征程</w:t>
      </w:r>
      <w:bookmarkEnd w:id="64"/>
      <w:bookmarkEnd w:id="65"/>
      <w:bookmarkEnd w:id="66"/>
    </w:p>
    <w:p w14:paraId="3AAD23CE">
      <w:pPr>
        <w:pageBreakBefore w:val="0"/>
        <w:numPr>
          <w:ilvl w:val="0"/>
          <w:numId w:val="0"/>
        </w:numPr>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p>
    <w:p w14:paraId="2F8BAB8B">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十三五”以来，白云区委、区政府高举中国特色社会主义伟大旗帜，在以习近平同志为核心的党中央坚强领导下，团结带领全区各族人民，统筹推进“五位一体”总体布局，协调推进“四个全面”战略布局，坚持稳中求进工作总基调，坚定不移贯彻新发展理念，有力、有序化解发展不平衡、不充分的矛盾问题，沉着应对复杂局面，统筹新冠肺炎疫情防控和经济社会发展大局，始终把人民生命安全和身体健康放在第一位。把握扩大内需战略基点，坚决打赢三大攻坚战。深化供给侧结构性改革，扎实做好“六稳”工作，全面落实“六保”任务，全面建成小康社会目标如期实现。客观审视</w:t>
      </w:r>
      <w:r>
        <w:rPr>
          <w:rFonts w:hint="eastAsia" w:ascii="仿宋" w:hAnsi="仿宋" w:eastAsia="仿宋" w:cs="仿宋"/>
          <w:bCs/>
          <w:color w:val="000000" w:themeColor="text1"/>
          <w:sz w:val="24"/>
          <w:szCs w:val="24"/>
          <w:lang w:val="en-US" w:eastAsia="zh-CN"/>
          <w14:textFill>
            <w14:solidFill>
              <w14:schemeClr w14:val="tx1"/>
            </w14:solidFill>
          </w14:textFill>
        </w:rPr>
        <w:t>我区</w:t>
      </w:r>
      <w:r>
        <w:rPr>
          <w:rFonts w:hint="eastAsia" w:ascii="仿宋" w:hAnsi="仿宋" w:eastAsia="仿宋" w:cs="仿宋"/>
          <w:bCs/>
          <w:color w:val="auto"/>
          <w:sz w:val="24"/>
          <w:szCs w:val="24"/>
          <w:lang w:val="en-US" w:eastAsia="zh-CN"/>
        </w:rPr>
        <w:t>“十三五”发展成效及存在问题，认真总结经验教训，准确把握新阶段</w:t>
      </w:r>
      <w:r>
        <w:rPr>
          <w:rFonts w:hint="eastAsia" w:ascii="仿宋" w:hAnsi="仿宋" w:eastAsia="仿宋" w:cs="仿宋"/>
          <w:bCs/>
          <w:color w:val="000000" w:themeColor="text1"/>
          <w:sz w:val="24"/>
          <w:szCs w:val="24"/>
          <w:lang w:val="en-US" w:eastAsia="zh-CN"/>
          <w14:textFill>
            <w14:solidFill>
              <w14:schemeClr w14:val="tx1"/>
            </w14:solidFill>
          </w14:textFill>
        </w:rPr>
        <w:t>我区</w:t>
      </w:r>
      <w:r>
        <w:rPr>
          <w:rFonts w:hint="eastAsia" w:ascii="仿宋" w:hAnsi="仿宋" w:eastAsia="仿宋" w:cs="仿宋"/>
          <w:bCs/>
          <w:color w:val="auto"/>
          <w:sz w:val="24"/>
          <w:szCs w:val="24"/>
          <w:lang w:val="en-US" w:eastAsia="zh-CN"/>
        </w:rPr>
        <w:t>发展面临的新机遇与新挑战，努力实现在危机中育先机，于变局中开新局。</w:t>
      </w:r>
    </w:p>
    <w:p w14:paraId="1C375074">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67" w:name="_Toc4933"/>
      <w:bookmarkStart w:id="68" w:name="_Toc4105"/>
      <w:bookmarkStart w:id="69" w:name="_Toc18273"/>
      <w:r>
        <w:rPr>
          <w:rFonts w:hint="eastAsia" w:ascii="宋体" w:hAnsi="宋体" w:eastAsia="宋体" w:cs="宋体"/>
          <w:sz w:val="28"/>
          <w:szCs w:val="28"/>
          <w:lang w:eastAsia="zh-CN"/>
        </w:rPr>
        <w:t>第一节</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发展成就</w:t>
      </w:r>
      <w:bookmarkEnd w:id="67"/>
      <w:bookmarkEnd w:id="68"/>
      <w:bookmarkEnd w:id="69"/>
    </w:p>
    <w:p w14:paraId="5B16A8E3">
      <w:pPr>
        <w:pageBreakBefore w:val="0"/>
        <w:widowControl w:val="0"/>
        <w:kinsoku/>
        <w:wordWrap/>
        <w:overflowPunct/>
        <w:topLinePunct w:val="0"/>
        <w:autoSpaceDE/>
        <w:autoSpaceDN/>
        <w:bidi w:val="0"/>
        <w:adjustRightInd w:val="0"/>
        <w:snapToGrid w:val="0"/>
        <w:spacing w:line="520" w:lineRule="exact"/>
        <w:ind w:left="0" w:firstLine="640"/>
        <w:jc w:val="both"/>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lang w:val="en-US" w:eastAsia="zh-CN"/>
        </w:rPr>
        <w:t>“十三五”时期是白云矿区全面建成小康社会的决胜阶段，也是应对重大挑战、经受重大考验、取得重大成就的五年</w:t>
      </w:r>
      <w:r>
        <w:rPr>
          <w:rFonts w:hint="eastAsia" w:ascii="方正书宋_GBK" w:hAnsi="方正书宋_GBK" w:eastAsia="仿宋_GB2312" w:cs="仿宋_GB2312"/>
          <w:spacing w:val="-4"/>
          <w:sz w:val="32"/>
          <w:szCs w:val="32"/>
          <w:highlight w:val="none"/>
          <w:u w:val="none"/>
          <w:lang w:val="en-US" w:eastAsia="zh-CN"/>
        </w:rPr>
        <w:t>。</w:t>
      </w:r>
      <w:r>
        <w:rPr>
          <w:rFonts w:hint="eastAsia" w:ascii="仿宋" w:hAnsi="仿宋" w:eastAsia="仿宋" w:cs="仿宋"/>
          <w:bCs/>
          <w:color w:val="auto"/>
          <w:sz w:val="24"/>
          <w:szCs w:val="24"/>
          <w:lang w:val="en-US" w:eastAsia="zh-CN"/>
        </w:rPr>
        <w:t>五年来，区委、区政府坚持以习近平新时代中国特色社会主义思想为指导，坚决贯彻落实习近平总书记对内蒙古重要讲话重要指示批示精神和党中央、自治区党委的部署要求，以“生态优先、绿色发展”为统领，着力抓好提高发展质量、优化产业结构、保护生态环境、提升民生福祉等各项工作，经济社会保持着平稳发展的良好态势，各项事业取得显著成就。</w:t>
      </w:r>
    </w:p>
    <w:p w14:paraId="76525E45">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——综合实力跃上新台阶。</w:t>
      </w:r>
      <w:r>
        <w:rPr>
          <w:rFonts w:hint="eastAsia" w:ascii="仿宋" w:hAnsi="仿宋" w:eastAsia="仿宋" w:cs="仿宋"/>
          <w:bCs/>
          <w:color w:val="auto"/>
          <w:sz w:val="24"/>
          <w:szCs w:val="24"/>
          <w:lang w:val="en-US" w:eastAsia="zh-CN"/>
        </w:rPr>
        <w:t>五年来，白云矿区全面践行创新发展理念，准确把握高质量发展阶段新要求，突出质量第一、效益优先，全力打好三大攻坚战，推动经济社会持续健康发展，经济实力实现新跨越。“十三五”时期全区地区生产总值累计完成143.84亿元，按可比口径计算，年均增长5.6%。发展规模以上工业企业至12家，工业增加值累计完成96.66亿元，年均增长6.8%。实施重大工程和重点项目73个，整体竣工55个，固定资产投资年均增长4%。一般公共预算收入累计完成14.15亿元，争取上级各类专项补助资金17.45亿元，创历史新高。社会消费品零售总额累计完成34亿元，年均增长10%。产业结构不断优化，初步形成了以矿山采选、稀土初级加工、新能源等为支柱的多元发展格局。</w:t>
      </w:r>
    </w:p>
    <w:p w14:paraId="36A55F8C">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2"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——产业转型取得新突破。</w:t>
      </w:r>
      <w:r>
        <w:rPr>
          <w:rFonts w:hint="eastAsia" w:ascii="仿宋" w:hAnsi="仿宋" w:eastAsia="仿宋" w:cs="仿宋"/>
          <w:b w:val="0"/>
          <w:bCs/>
          <w:color w:val="auto"/>
          <w:sz w:val="24"/>
          <w:szCs w:val="24"/>
          <w:lang w:val="en-US" w:eastAsia="zh-CN"/>
        </w:rPr>
        <w:t>五年来，白云矿区</w:t>
      </w:r>
      <w:r>
        <w:rPr>
          <w:rFonts w:hint="eastAsia" w:ascii="仿宋" w:hAnsi="仿宋" w:eastAsia="仿宋" w:cs="仿宋"/>
          <w:bCs/>
          <w:color w:val="auto"/>
          <w:sz w:val="24"/>
          <w:szCs w:val="24"/>
          <w:lang w:val="en-US" w:eastAsia="zh-CN"/>
        </w:rPr>
        <w:t>坚持生态优先、绿色发展，三次产业结构更加合理，第三产业比重明显增加。白云铁矿获评</w:t>
      </w:r>
      <w:r>
        <w:rPr>
          <w:rFonts w:hint="eastAsia" w:ascii="仿宋" w:hAnsi="仿宋" w:eastAsia="仿宋" w:cs="仿宋"/>
          <w:bCs/>
          <w:color w:val="000000" w:themeColor="text1"/>
          <w:sz w:val="24"/>
          <w:szCs w:val="24"/>
          <w:lang w:val="en-US" w:eastAsia="zh-CN"/>
          <w14:textFill>
            <w14:solidFill>
              <w14:schemeClr w14:val="tx1"/>
            </w14:solidFill>
          </w14:textFill>
        </w:rPr>
        <w:t>国家级优秀</w:t>
      </w:r>
      <w:r>
        <w:rPr>
          <w:rFonts w:hint="eastAsia" w:ascii="仿宋" w:hAnsi="仿宋" w:eastAsia="仿宋" w:cs="仿宋"/>
          <w:bCs/>
          <w:color w:val="auto"/>
          <w:sz w:val="24"/>
          <w:szCs w:val="24"/>
          <w:lang w:val="en-US" w:eastAsia="zh-CN"/>
        </w:rPr>
        <w:t>绿色矿山试点单位，宝山矿业稀土产量逐年增加，萤石选矿品位已具备规模化生产能力。风电、光伏清洁能源总装机并网容量达46万千瓦，累计发电超30亿千瓦时。</w:t>
      </w:r>
    </w:p>
    <w:p w14:paraId="3EBFA463">
      <w:pPr>
        <w:pageBreakBefore w:val="0"/>
        <w:kinsoku/>
        <w:wordWrap/>
        <w:overflowPunct/>
        <w:topLinePunct w:val="0"/>
        <w:autoSpaceDE/>
        <w:autoSpaceDN/>
        <w:bidi w:val="0"/>
        <w:spacing w:line="520" w:lineRule="exact"/>
        <w:ind w:firstLine="482" w:firstLineChars="200"/>
        <w:textAlignment w:val="auto"/>
        <w:rPr>
          <w:rFonts w:hint="default" w:ascii="仿宋" w:hAnsi="仿宋" w:eastAsia="仿宋" w:cs="仿宋"/>
          <w:bCs/>
          <w:color w:val="auto"/>
          <w:sz w:val="24"/>
          <w:szCs w:val="24"/>
          <w:lang w:eastAsia="zh-CN"/>
        </w:rPr>
      </w:pPr>
      <w:r>
        <w:rPr>
          <w:rFonts w:hint="eastAsia" w:ascii="仿宋" w:hAnsi="仿宋" w:eastAsia="仿宋" w:cs="仿宋"/>
          <w:b/>
          <w:bCs w:val="0"/>
          <w:color w:val="auto"/>
          <w:sz w:val="24"/>
          <w:szCs w:val="24"/>
          <w:lang w:val="en-US" w:eastAsia="zh-CN"/>
        </w:rPr>
        <w:t>——改革创新释放新活力。</w:t>
      </w:r>
      <w:r>
        <w:rPr>
          <w:rFonts w:hint="eastAsia" w:ascii="仿宋" w:hAnsi="仿宋" w:eastAsia="仿宋" w:cs="仿宋"/>
          <w:bCs/>
          <w:color w:val="auto"/>
          <w:sz w:val="24"/>
          <w:szCs w:val="24"/>
          <w:lang w:val="en-US" w:eastAsia="zh-CN"/>
        </w:rPr>
        <w:t>五年来，</w:t>
      </w:r>
      <w:r>
        <w:rPr>
          <w:rFonts w:hint="eastAsia" w:ascii="仿宋" w:hAnsi="仿宋" w:eastAsia="仿宋" w:cs="仿宋"/>
          <w:b w:val="0"/>
          <w:bCs/>
          <w:color w:val="auto"/>
          <w:sz w:val="24"/>
          <w:szCs w:val="24"/>
          <w:lang w:val="en-US" w:eastAsia="zh-CN"/>
        </w:rPr>
        <w:t>白云矿区</w:t>
      </w:r>
      <w:r>
        <w:rPr>
          <w:rFonts w:hint="eastAsia" w:ascii="仿宋" w:hAnsi="仿宋" w:eastAsia="仿宋" w:cs="仿宋"/>
          <w:bCs/>
          <w:color w:val="auto"/>
          <w:sz w:val="24"/>
          <w:szCs w:val="24"/>
          <w:lang w:val="en-US" w:eastAsia="zh-CN"/>
        </w:rPr>
        <w:t>全面贯彻落实党中央、自治区党委和包头市委部署的各项改革任务要求，积极开展社会投资项目承诺制试点工作，大力推行产业准入清单制度、信用联合奖惩制度，建立了招商引资“优惠政策、“不来即享”、五个第一</w:t>
      </w:r>
      <w:r>
        <w:rPr>
          <w:rFonts w:hint="eastAsia" w:ascii="仿宋" w:hAnsi="仿宋" w:eastAsia="仿宋" w:cs="仿宋"/>
          <w:bCs/>
          <w:color w:val="000000" w:themeColor="text1"/>
          <w:sz w:val="24"/>
          <w:szCs w:val="24"/>
          <w:lang w:val="en-US" w:eastAsia="zh-CN"/>
          <w14:textFill>
            <w14:solidFill>
              <w14:schemeClr w14:val="tx1"/>
            </w14:solidFill>
          </w14:textFill>
        </w:rPr>
        <w:t>时间</w:t>
      </w:r>
      <w:r>
        <w:rPr>
          <w:rFonts w:hint="eastAsia" w:ascii="仿宋" w:hAnsi="仿宋" w:eastAsia="仿宋" w:cs="仿宋"/>
          <w:bCs/>
          <w:color w:val="auto"/>
          <w:sz w:val="24"/>
          <w:szCs w:val="24"/>
          <w:lang w:val="en-US" w:eastAsia="zh-CN"/>
        </w:rPr>
        <w:t>”保</w:t>
      </w:r>
      <w:r>
        <w:rPr>
          <w:rFonts w:hint="eastAsia" w:ascii="仿宋" w:hAnsi="仿宋" w:eastAsia="仿宋" w:cs="仿宋"/>
          <w:bCs/>
          <w:color w:val="auto"/>
          <w:sz w:val="24"/>
          <w:szCs w:val="24"/>
          <w:highlight w:val="none"/>
          <w:lang w:val="en-US" w:eastAsia="zh-CN"/>
        </w:rPr>
        <w:t>障机制。</w:t>
      </w:r>
      <w:r>
        <w:rPr>
          <w:rFonts w:hint="eastAsia" w:ascii="仿宋" w:hAnsi="仿宋" w:eastAsia="仿宋" w:cs="仿宋"/>
          <w:bCs/>
          <w:color w:val="000000" w:themeColor="text1"/>
          <w:sz w:val="24"/>
          <w:szCs w:val="24"/>
          <w:lang w:val="en-US" w:eastAsia="zh-CN"/>
          <w14:textFill>
            <w14:solidFill>
              <w14:schemeClr w14:val="tx1"/>
            </w14:solidFill>
          </w14:textFill>
        </w:rPr>
        <w:t>累计完成各项改革任务792项，</w:t>
      </w:r>
      <w:r>
        <w:rPr>
          <w:rFonts w:hint="eastAsia" w:ascii="仿宋" w:hAnsi="仿宋" w:eastAsia="仿宋" w:cs="仿宋"/>
          <w:bCs/>
          <w:color w:val="auto"/>
          <w:sz w:val="24"/>
          <w:szCs w:val="24"/>
          <w:lang w:val="en-US" w:eastAsia="zh-CN"/>
        </w:rPr>
        <w:t>制定出台优化营商环境改革举措117项，302项政务服务事项进驻大厅</w:t>
      </w:r>
      <w:r>
        <w:rPr>
          <w:rFonts w:hint="eastAsia" w:ascii="仿宋" w:hAnsi="仿宋" w:eastAsia="仿宋" w:cs="仿宋"/>
          <w:bCs/>
          <w:color w:val="000000" w:themeColor="text1"/>
          <w:sz w:val="24"/>
          <w:szCs w:val="24"/>
          <w:lang w:val="en-US" w:eastAsia="zh-CN"/>
          <w14:textFill>
            <w14:solidFill>
              <w14:schemeClr w14:val="tx1"/>
            </w14:solidFill>
          </w14:textFill>
        </w:rPr>
        <w:t>，98%事项</w:t>
      </w:r>
      <w:r>
        <w:rPr>
          <w:rFonts w:hint="eastAsia" w:ascii="仿宋" w:hAnsi="仿宋" w:eastAsia="仿宋" w:cs="仿宋"/>
          <w:bCs/>
          <w:color w:val="auto"/>
          <w:sz w:val="24"/>
          <w:szCs w:val="24"/>
          <w:lang w:val="en-US" w:eastAsia="zh-CN"/>
        </w:rPr>
        <w:t>实现网上办，90%事项实现一次办，平均办理时间比规定时限压缩93%。</w:t>
      </w:r>
    </w:p>
    <w:p w14:paraId="5DE1547D">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——科技创新取得新收获。</w:t>
      </w:r>
      <w:r>
        <w:rPr>
          <w:rFonts w:hint="eastAsia" w:ascii="仿宋" w:hAnsi="仿宋" w:eastAsia="仿宋" w:cs="仿宋"/>
          <w:bCs/>
          <w:color w:val="auto"/>
          <w:sz w:val="24"/>
          <w:szCs w:val="24"/>
          <w:lang w:val="en-US" w:eastAsia="zh-CN"/>
        </w:rPr>
        <w:t>五年来，</w:t>
      </w:r>
      <w:r>
        <w:rPr>
          <w:rFonts w:hint="eastAsia" w:ascii="仿宋" w:hAnsi="仿宋" w:eastAsia="仿宋" w:cs="仿宋"/>
          <w:b w:val="0"/>
          <w:bCs/>
          <w:color w:val="auto"/>
          <w:sz w:val="24"/>
          <w:szCs w:val="24"/>
          <w:lang w:val="en-US" w:eastAsia="zh-CN"/>
        </w:rPr>
        <w:t>白云矿区</w:t>
      </w:r>
      <w:r>
        <w:rPr>
          <w:rFonts w:hint="eastAsia" w:ascii="仿宋" w:hAnsi="仿宋" w:eastAsia="仿宋" w:cs="仿宋"/>
          <w:bCs/>
          <w:color w:val="auto"/>
          <w:sz w:val="24"/>
          <w:szCs w:val="24"/>
          <w:lang w:val="en-US" w:eastAsia="zh-CN"/>
        </w:rPr>
        <w:t>全面贯彻落实创新发展理念，产学研一体化发展全面提速。到2020年，全区新增研究院1所，院士工作站2所，有4个项目进入中试阶段，稀土矿产资源固废循环利用项目已获得国家科技部批复，自治区首个5G无人驾驶矿用车在</w:t>
      </w:r>
      <w:r>
        <w:rPr>
          <w:rFonts w:hint="eastAsia" w:ascii="仿宋" w:hAnsi="仿宋" w:eastAsia="仿宋" w:cs="仿宋"/>
          <w:bCs/>
          <w:color w:val="000000" w:themeColor="text1"/>
          <w:sz w:val="24"/>
          <w:szCs w:val="24"/>
          <w:lang w:val="en-US" w:eastAsia="zh-CN"/>
          <w14:textFill>
            <w14:solidFill>
              <w14:schemeClr w14:val="tx1"/>
            </w14:solidFill>
          </w14:textFill>
        </w:rPr>
        <w:t>我区</w:t>
      </w:r>
      <w:r>
        <w:rPr>
          <w:rFonts w:hint="eastAsia" w:ascii="仿宋" w:hAnsi="仿宋" w:eastAsia="仿宋" w:cs="仿宋"/>
          <w:bCs/>
          <w:color w:val="auto"/>
          <w:sz w:val="24"/>
          <w:szCs w:val="24"/>
          <w:lang w:val="en-US" w:eastAsia="zh-CN"/>
        </w:rPr>
        <w:t>正式运行。</w:t>
      </w:r>
    </w:p>
    <w:p w14:paraId="0A8F08DE">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2"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
          <w:bCs w:val="0"/>
          <w:color w:val="auto"/>
          <w:sz w:val="24"/>
          <w:szCs w:val="24"/>
          <w:highlight w:val="none"/>
          <w:lang w:val="en-US" w:eastAsia="zh-CN"/>
        </w:rPr>
        <w:t>——“飞地经济”、</w:t>
      </w:r>
      <w:r>
        <w:rPr>
          <w:rFonts w:hint="default" w:ascii="仿宋" w:hAnsi="仿宋" w:eastAsia="仿宋" w:cs="仿宋"/>
          <w:b/>
          <w:bCs w:val="0"/>
          <w:color w:val="auto"/>
          <w:sz w:val="24"/>
          <w:szCs w:val="24"/>
          <w:lang w:eastAsia="zh-CN"/>
        </w:rPr>
        <w:t>招商引资成效显著。</w:t>
      </w:r>
      <w:r>
        <w:rPr>
          <w:rFonts w:hint="eastAsia" w:ascii="仿宋" w:hAnsi="仿宋" w:eastAsia="仿宋" w:cs="仿宋"/>
          <w:b w:val="0"/>
          <w:bCs/>
          <w:color w:val="auto"/>
          <w:sz w:val="24"/>
          <w:szCs w:val="24"/>
          <w:lang w:eastAsia="zh-CN"/>
        </w:rPr>
        <w:t>“</w:t>
      </w:r>
      <w:r>
        <w:rPr>
          <w:rFonts w:hint="eastAsia" w:ascii="仿宋" w:hAnsi="仿宋" w:eastAsia="仿宋" w:cs="仿宋"/>
          <w:bCs/>
          <w:color w:val="auto"/>
          <w:sz w:val="24"/>
          <w:szCs w:val="24"/>
          <w:highlight w:val="none"/>
          <w:lang w:val="en-US" w:eastAsia="zh-CN"/>
        </w:rPr>
        <w:t>十三五”期间</w:t>
      </w:r>
      <w:r>
        <w:rPr>
          <w:rFonts w:hint="default" w:ascii="仿宋" w:hAnsi="仿宋" w:eastAsia="仿宋" w:cs="仿宋"/>
          <w:bCs/>
          <w:color w:val="auto"/>
          <w:sz w:val="24"/>
          <w:szCs w:val="24"/>
          <w:highlight w:val="none"/>
          <w:lang w:eastAsia="zh-CN"/>
        </w:rPr>
        <w:t>，白云矿</w:t>
      </w:r>
      <w:r>
        <w:rPr>
          <w:rFonts w:hint="eastAsia" w:ascii="仿宋" w:hAnsi="仿宋" w:eastAsia="仿宋" w:cs="仿宋"/>
          <w:bCs/>
          <w:color w:val="auto"/>
          <w:sz w:val="24"/>
          <w:szCs w:val="24"/>
          <w:highlight w:val="none"/>
          <w:lang w:val="en-US" w:eastAsia="zh-CN"/>
        </w:rPr>
        <w:t>区成立包头市首家“飞地经济”</w:t>
      </w:r>
      <w:r>
        <w:rPr>
          <w:rFonts w:hint="eastAsia" w:ascii="仿宋" w:hAnsi="仿宋" w:eastAsia="仿宋" w:cs="仿宋"/>
          <w:bCs/>
          <w:color w:val="auto"/>
          <w:sz w:val="24"/>
          <w:szCs w:val="24"/>
          <w:lang w:val="en-US" w:eastAsia="zh-CN"/>
        </w:rPr>
        <w:t>双创园区，累计入驻企业217家，带动就业4000余人，总营业收入达到54.6亿元，税收突破1亿元，先后获评自治区电子商务示范基地、众创空间和创业支撑平台等荣誉，成功进入国家级电子商务示范基地备案库，为地区发展注入了新活力。</w:t>
      </w:r>
      <w:r>
        <w:rPr>
          <w:rFonts w:hint="eastAsia" w:ascii="仿宋" w:hAnsi="仿宋" w:eastAsia="仿宋" w:cs="仿宋"/>
          <w:bCs/>
          <w:color w:val="auto"/>
          <w:sz w:val="24"/>
          <w:szCs w:val="24"/>
          <w:highlight w:val="none"/>
          <w:lang w:val="en-US" w:eastAsia="zh-CN"/>
        </w:rPr>
        <w:t>扎实推进招商引资工作，</w:t>
      </w:r>
      <w:r>
        <w:rPr>
          <w:rFonts w:hint="default" w:ascii="仿宋" w:hAnsi="仿宋" w:eastAsia="仿宋" w:cs="仿宋"/>
          <w:b w:val="0"/>
          <w:bCs/>
          <w:color w:val="auto"/>
          <w:sz w:val="24"/>
          <w:szCs w:val="24"/>
          <w:lang w:eastAsia="zh-CN"/>
        </w:rPr>
        <w:t>招商引资成效显著。</w:t>
      </w:r>
      <w:r>
        <w:rPr>
          <w:rFonts w:hint="eastAsia" w:ascii="仿宋" w:hAnsi="仿宋" w:eastAsia="仿宋" w:cs="仿宋"/>
          <w:bCs/>
          <w:color w:val="auto"/>
          <w:sz w:val="24"/>
          <w:szCs w:val="24"/>
          <w:highlight w:val="none"/>
          <w:lang w:val="en-US" w:eastAsia="zh-CN"/>
        </w:rPr>
        <w:t>截至到</w:t>
      </w:r>
      <w:r>
        <w:rPr>
          <w:rFonts w:hint="eastAsia" w:ascii="仿宋" w:hAnsi="仿宋" w:eastAsia="仿宋" w:cs="仿宋"/>
          <w:bCs/>
          <w:color w:val="auto"/>
          <w:sz w:val="24"/>
          <w:szCs w:val="24"/>
          <w:lang w:val="en-US" w:eastAsia="zh-CN"/>
        </w:rPr>
        <w:t>2020年，</w:t>
      </w:r>
      <w:r>
        <w:rPr>
          <w:rFonts w:hint="default" w:ascii="仿宋" w:hAnsi="仿宋" w:eastAsia="仿宋" w:cs="仿宋"/>
          <w:bCs/>
          <w:color w:val="auto"/>
          <w:sz w:val="24"/>
          <w:szCs w:val="24"/>
          <w:highlight w:val="none"/>
          <w:lang w:eastAsia="zh-CN"/>
        </w:rPr>
        <w:t>白云矿</w:t>
      </w:r>
      <w:r>
        <w:rPr>
          <w:rFonts w:hint="eastAsia" w:ascii="仿宋" w:hAnsi="仿宋" w:eastAsia="仿宋" w:cs="仿宋"/>
          <w:bCs/>
          <w:color w:val="auto"/>
          <w:sz w:val="24"/>
          <w:szCs w:val="24"/>
          <w:highlight w:val="none"/>
          <w:lang w:val="en-US" w:eastAsia="zh-CN"/>
        </w:rPr>
        <w:t>区累计签约项目39 份，落地项目18个，到位资金25.7亿元，竣工投产项目13个。</w:t>
      </w:r>
    </w:p>
    <w:p w14:paraId="587F0956">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——三大攻坚战如期完成。</w:t>
      </w:r>
      <w:r>
        <w:rPr>
          <w:rFonts w:hint="eastAsia" w:ascii="仿宋" w:hAnsi="仿宋" w:eastAsia="仿宋" w:cs="仿宋"/>
          <w:bCs/>
          <w:color w:val="auto"/>
          <w:sz w:val="24"/>
          <w:szCs w:val="24"/>
          <w:lang w:val="en-US" w:eastAsia="zh-CN"/>
        </w:rPr>
        <w:t>五年来，白云矿区积极实施低收入群体幸福提升工程，针对全区186名城市贫困人员，通过开展“一对一”帮扶活动，分类施策，保障兜底，脱贫攻坚如期达标</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扎实做好“散乱污”企业排查整治，全力打赢生态环保攻坚战。到2020年，白云矿区中央环保督察及“回头看”问题整改率达100%。自治区生态环境保护督察反馈问题整改销号13项，完成率达到87%。全年空气质量达标天数为336天，达标率为93.6%，位列包头市第一。全面加强政府性债务日常管理和总量控制，防范化解重大金融风险。截止到2020年，白云矿区累计化解政府债务10亿元，政府债务风险等级实现由红转橙，债务化解、金融风险防范任务如期完成。</w:t>
      </w:r>
    </w:p>
    <w:p w14:paraId="2ECD6B76">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4"/>
          <w:szCs w:val="24"/>
          <w:lang w:val="en-US" w:eastAsia="zh-CN"/>
        </w:rPr>
        <w:t>——城市品质持续提升。</w:t>
      </w:r>
      <w:r>
        <w:rPr>
          <w:rFonts w:hint="eastAsia" w:ascii="仿宋" w:hAnsi="仿宋" w:eastAsia="仿宋" w:cs="仿宋"/>
          <w:bCs/>
          <w:color w:val="auto"/>
          <w:sz w:val="24"/>
          <w:szCs w:val="24"/>
          <w:lang w:val="en-US" w:eastAsia="zh-CN"/>
        </w:rPr>
        <w:t>五年来，“城市双修”试点取得阶段性成果，到2020年累计完成3351户棚户区搬迁改造任务，完成20个老旧小区的给排水、供热管网改造，以及绿化、美化、硬化等综合改造，共有11个小区实现了天然气入户。建成白云矿区净水厂，解决了60多年来矿区居民吃水难、水难吃问题，饮用水水质达标率为100%。全区污水收集处理率达到94.5%，中水回用率达到100%。生活垃圾治理覆盖率达到97.4%。</w:t>
      </w:r>
      <w:r>
        <w:rPr>
          <w:rFonts w:hint="eastAsia" w:ascii="仿宋" w:hAnsi="仿宋" w:eastAsia="仿宋" w:cs="仿宋"/>
          <w:bCs/>
          <w:color w:val="auto"/>
          <w:sz w:val="24"/>
          <w:szCs w:val="24"/>
          <w:lang w:val="zh-CN" w:eastAsia="zh-CN"/>
        </w:rPr>
        <w:t>“</w:t>
      </w:r>
      <w:r>
        <w:rPr>
          <w:rFonts w:hint="eastAsia" w:ascii="仿宋" w:hAnsi="仿宋" w:eastAsia="仿宋" w:cs="仿宋"/>
          <w:bCs/>
          <w:color w:val="auto"/>
          <w:sz w:val="24"/>
          <w:szCs w:val="24"/>
          <w:lang w:val="en-US" w:eastAsia="zh-CN"/>
        </w:rPr>
        <w:t>智慧城市</w:t>
      </w:r>
      <w:r>
        <w:rPr>
          <w:rFonts w:hint="eastAsia" w:ascii="仿宋" w:hAnsi="仿宋" w:eastAsia="仿宋" w:cs="仿宋"/>
          <w:bCs/>
          <w:color w:val="auto"/>
          <w:sz w:val="24"/>
          <w:szCs w:val="24"/>
          <w:lang w:val="zh-CN" w:eastAsia="zh-CN"/>
        </w:rPr>
        <w:t>”</w:t>
      </w:r>
      <w:r>
        <w:rPr>
          <w:rFonts w:hint="eastAsia" w:ascii="仿宋" w:hAnsi="仿宋" w:eastAsia="仿宋" w:cs="仿宋"/>
          <w:bCs/>
          <w:color w:val="auto"/>
          <w:sz w:val="24"/>
          <w:szCs w:val="24"/>
          <w:lang w:val="en-US" w:eastAsia="zh-CN"/>
        </w:rPr>
        <w:t>建设走在全市前列</w:t>
      </w:r>
      <w:r>
        <w:rPr>
          <w:rFonts w:hint="eastAsia" w:ascii="仿宋" w:hAnsi="仿宋" w:eastAsia="仿宋" w:cs="仿宋"/>
          <w:bCs/>
          <w:color w:val="auto"/>
          <w:sz w:val="24"/>
          <w:szCs w:val="24"/>
          <w:lang w:val="zh-CN" w:eastAsia="zh-CN"/>
        </w:rPr>
        <w:t>，</w:t>
      </w:r>
      <w:r>
        <w:rPr>
          <w:rFonts w:hint="eastAsia" w:ascii="仿宋" w:hAnsi="仿宋" w:eastAsia="仿宋" w:cs="仿宋"/>
          <w:bCs/>
          <w:color w:val="auto"/>
          <w:sz w:val="24"/>
          <w:szCs w:val="24"/>
          <w:lang w:val="en-US" w:eastAsia="zh-CN"/>
        </w:rPr>
        <w:t>率先</w:t>
      </w:r>
      <w:r>
        <w:rPr>
          <w:rFonts w:hint="eastAsia" w:ascii="仿宋" w:hAnsi="仿宋" w:eastAsia="仿宋" w:cs="仿宋"/>
          <w:bCs/>
          <w:color w:val="000000" w:themeColor="text1"/>
          <w:sz w:val="24"/>
          <w:szCs w:val="24"/>
          <w:lang w:val="en-US" w:eastAsia="zh-CN"/>
          <w14:textFill>
            <w14:solidFill>
              <w14:schemeClr w14:val="tx1"/>
            </w14:solidFill>
          </w14:textFill>
        </w:rPr>
        <w:t>建成自治区首家智慧城市展示体验中心，</w:t>
      </w:r>
      <w:r>
        <w:rPr>
          <w:rFonts w:hint="eastAsia" w:ascii="仿宋" w:hAnsi="仿宋" w:eastAsia="仿宋" w:cs="仿宋"/>
          <w:bCs/>
          <w:color w:val="auto"/>
          <w:sz w:val="24"/>
          <w:szCs w:val="24"/>
          <w:lang w:val="en-US" w:eastAsia="zh-CN"/>
        </w:rPr>
        <w:t>建设完成大数据运营指挥中心、智慧社区、智慧安监、党员大数据、廉政大数据、智慧人大等多个信息化系统平台建设，建成5G基站21座，成为</w:t>
      </w:r>
      <w:r>
        <w:rPr>
          <w:rFonts w:hint="eastAsia" w:ascii="仿宋" w:hAnsi="仿宋" w:eastAsia="仿宋" w:cs="仿宋"/>
          <w:bCs/>
          <w:color w:val="auto"/>
          <w:sz w:val="24"/>
          <w:szCs w:val="24"/>
          <w:highlight w:val="none"/>
          <w:lang w:val="en-US" w:eastAsia="zh-CN"/>
        </w:rPr>
        <w:t>自治区首个实现5G独立组网、主城区全覆盖的旗县区。</w:t>
      </w:r>
    </w:p>
    <w:p w14:paraId="5371FCF1">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2" w:firstLineChars="200"/>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
          <w:bCs w:val="0"/>
          <w:color w:val="auto"/>
          <w:sz w:val="24"/>
          <w:szCs w:val="24"/>
          <w:highlight w:val="none"/>
          <w:lang w:val="en-US" w:eastAsia="zh-CN"/>
        </w:rPr>
        <w:t>——社会事业全面进步。</w:t>
      </w:r>
      <w:r>
        <w:rPr>
          <w:rFonts w:hint="eastAsia" w:ascii="仿宋" w:hAnsi="仿宋" w:eastAsia="仿宋" w:cs="仿宋"/>
          <w:bCs/>
          <w:color w:val="auto"/>
          <w:sz w:val="24"/>
          <w:szCs w:val="24"/>
          <w:highlight w:val="none"/>
          <w:lang w:val="en-US" w:eastAsia="zh-CN"/>
        </w:rPr>
        <w:t>五年来，白云矿区教育综合改革全面推开，学前教育三年入园率达到100%，义务教育初中三年巩固率达99％以上，学前教育毛入园率均在104%以上，被教育部评为国家级优秀教学成果推广应用示范区。医疗卫生事业得到进一步发展，全区医疗水平得到整体提升，预防接种范围不断扩大</w:t>
      </w:r>
      <w:r>
        <w:rPr>
          <w:rFonts w:hint="eastAsia" w:ascii="仿宋" w:hAnsi="仿宋" w:eastAsia="仿宋" w:cs="仿宋"/>
          <w:bCs/>
          <w:color w:val="auto"/>
          <w:sz w:val="24"/>
          <w:szCs w:val="24"/>
          <w:lang w:val="en-US" w:eastAsia="zh-CN"/>
        </w:rPr>
        <w:t>，全市首家标准化医养结合养老院投入运营，建设形成了“日间照料、医养结合、居家养老”多模式养老助老服务体系。被国家卫健委评为国家卫生城区荣誉称号。社会保险率、居民就业率实现全面提升，实现“应保尽保”全覆盖。累计新增就业、再就业人数1313人，城市登记失业率始终控制在3.9%以内。文旅事业实现创新发展，</w:t>
      </w:r>
      <w:r>
        <w:rPr>
          <w:rFonts w:hint="eastAsia" w:ascii="仿宋" w:hAnsi="仿宋" w:eastAsia="仿宋" w:cs="仿宋"/>
          <w:bCs/>
          <w:color w:val="000000" w:themeColor="text1"/>
          <w:sz w:val="24"/>
          <w:szCs w:val="24"/>
          <w:lang w:val="en-US" w:eastAsia="zh-CN"/>
          <w14:textFill>
            <w14:solidFill>
              <w14:schemeClr w14:val="tx1"/>
            </w14:solidFill>
          </w14:textFill>
        </w:rPr>
        <w:t>建成“草原英雄小姐妹”事迹展览馆，组织爱国主义教育累计10余万人次，被授予全国爱国主义教育基地、关心下一代党史国史教育基地、自治区社会科学普及基地等称号。推出《初心可鉴》等文艺作品311部。多种形式举办奇石文化旅游节，地区</w:t>
      </w:r>
      <w:r>
        <w:rPr>
          <w:rFonts w:hint="eastAsia" w:ascii="仿宋" w:hAnsi="仿宋" w:eastAsia="仿宋" w:cs="仿宋"/>
          <w:bCs/>
          <w:color w:val="auto"/>
          <w:sz w:val="24"/>
          <w:szCs w:val="24"/>
          <w:lang w:val="en-US" w:eastAsia="zh-CN"/>
        </w:rPr>
        <w:t>知名度</w:t>
      </w:r>
      <w:r>
        <w:rPr>
          <w:rFonts w:hint="eastAsia" w:ascii="仿宋" w:hAnsi="仿宋" w:eastAsia="仿宋" w:cs="仿宋"/>
          <w:bCs/>
          <w:color w:val="000000" w:themeColor="text1"/>
          <w:sz w:val="24"/>
          <w:szCs w:val="24"/>
          <w:lang w:val="en-US" w:eastAsia="zh-CN"/>
          <w14:textFill>
            <w14:solidFill>
              <w14:schemeClr w14:val="tx1"/>
            </w14:solidFill>
          </w14:textFill>
        </w:rPr>
        <w:t>和影响力进一步扩大。</w:t>
      </w:r>
    </w:p>
    <w:p w14:paraId="663AF312">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——法治建设迈出新步伐。</w:t>
      </w:r>
      <w:r>
        <w:rPr>
          <w:rFonts w:hint="eastAsia" w:ascii="仿宋" w:hAnsi="仿宋" w:eastAsia="仿宋" w:cs="仿宋"/>
          <w:bCs/>
          <w:color w:val="auto"/>
          <w:sz w:val="24"/>
          <w:szCs w:val="24"/>
          <w:lang w:val="en-US" w:eastAsia="zh-CN"/>
        </w:rPr>
        <w:t>五年来，白云矿区法治建设取得显著成效。通过开展“减证便民”等专项行动，公检法各部门全面完成程序化、法定化、标准化建设，执法水平有了大幅提高，扫黑除恶专项斗争取得丰硕成果。2020年，重点信访事项办结率达到100%，被国家评为无邪教示范地区、全国信访“三无”旗县区。大力建设法治政府、诚信政府，法治社会、诚信社会，成立政府法律顾问团，圆满完成“七五”普法任务，打造公平公正、公开透明的一流法治营商环境。</w:t>
      </w:r>
    </w:p>
    <w:p w14:paraId="30004CD5">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——党的领导得到全面落实。</w:t>
      </w:r>
      <w:r>
        <w:rPr>
          <w:rFonts w:hint="eastAsia" w:ascii="仿宋" w:hAnsi="仿宋" w:eastAsia="仿宋" w:cs="仿宋"/>
          <w:bCs/>
          <w:color w:val="auto"/>
          <w:sz w:val="24"/>
          <w:szCs w:val="24"/>
          <w:lang w:val="en-US" w:eastAsia="zh-CN"/>
        </w:rPr>
        <w:t>五年来，白云区委、区政府认真贯彻落实新时代党建工作的总要求，积极推进全面从严治党，不断提高各级党组织的创造力、凝聚力和战斗力，牢固树立“四个意识”，始终同党中央保持高度一致。“两学一做”学习教育实现了常态化、制度化，“不忘初心、牢记使命”主题教育成果丰硕。</w:t>
      </w:r>
      <w:r>
        <w:rPr>
          <w:rFonts w:hint="eastAsia" w:ascii="仿宋" w:hAnsi="仿宋" w:eastAsia="仿宋" w:cs="仿宋"/>
          <w:color w:val="auto"/>
          <w:spacing w:val="0"/>
          <w:w w:val="100"/>
          <w:position w:val="0"/>
          <w:sz w:val="24"/>
          <w:szCs w:val="24"/>
        </w:rPr>
        <w:t>“四风”问题</w:t>
      </w:r>
      <w:r>
        <w:rPr>
          <w:rFonts w:hint="eastAsia" w:ascii="仿宋" w:hAnsi="仿宋" w:eastAsia="仿宋" w:cs="仿宋"/>
          <w:color w:val="auto"/>
          <w:spacing w:val="0"/>
          <w:w w:val="100"/>
          <w:position w:val="0"/>
          <w:sz w:val="24"/>
          <w:szCs w:val="24"/>
          <w:lang w:val="en-US" w:eastAsia="zh-CN"/>
        </w:rPr>
        <w:t>得到</w:t>
      </w:r>
      <w:r>
        <w:rPr>
          <w:rFonts w:hint="eastAsia" w:ascii="仿宋" w:hAnsi="仿宋" w:eastAsia="仿宋" w:cs="仿宋"/>
          <w:color w:val="auto"/>
          <w:spacing w:val="0"/>
          <w:w w:val="100"/>
          <w:position w:val="0"/>
          <w:sz w:val="24"/>
          <w:szCs w:val="24"/>
        </w:rPr>
        <w:t>有效遏制，反腐败斗争</w:t>
      </w:r>
      <w:r>
        <w:rPr>
          <w:rFonts w:hint="eastAsia" w:ascii="仿宋" w:hAnsi="仿宋" w:eastAsia="仿宋" w:cs="仿宋"/>
          <w:color w:val="auto"/>
          <w:spacing w:val="0"/>
          <w:w w:val="100"/>
          <w:position w:val="0"/>
          <w:sz w:val="24"/>
          <w:szCs w:val="24"/>
          <w:lang w:val="en-US" w:eastAsia="zh-CN"/>
        </w:rPr>
        <w:t>呈现出</w:t>
      </w:r>
      <w:r>
        <w:rPr>
          <w:rFonts w:hint="eastAsia" w:ascii="仿宋" w:hAnsi="仿宋" w:eastAsia="仿宋" w:cs="仿宋"/>
          <w:color w:val="auto"/>
          <w:spacing w:val="0"/>
          <w:w w:val="100"/>
          <w:position w:val="0"/>
          <w:sz w:val="24"/>
          <w:szCs w:val="24"/>
        </w:rPr>
        <w:t>压倒性发展巩固态势，党员干部执行力</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落实力全面提升，党风政风社会风气焕然一新。</w:t>
      </w:r>
    </w:p>
    <w:p w14:paraId="67E14C12">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实践证明，</w:t>
      </w:r>
      <w:r>
        <w:rPr>
          <w:rFonts w:hint="eastAsia" w:ascii="仿宋" w:hAnsi="仿宋" w:eastAsia="仿宋" w:cs="仿宋"/>
          <w:b w:val="0"/>
          <w:bCs/>
          <w:color w:val="auto"/>
          <w:sz w:val="24"/>
          <w:szCs w:val="24"/>
          <w:lang w:val="en-US" w:eastAsia="zh-CN"/>
        </w:rPr>
        <w:t>白云矿区</w:t>
      </w:r>
      <w:r>
        <w:rPr>
          <w:rFonts w:hint="eastAsia" w:ascii="仿宋" w:hAnsi="仿宋" w:eastAsia="仿宋" w:cs="仿宋"/>
          <w:bCs/>
          <w:color w:val="auto"/>
          <w:sz w:val="24"/>
          <w:szCs w:val="24"/>
          <w:lang w:val="en-US" w:eastAsia="zh-CN"/>
        </w:rPr>
        <w:t>顺利完成“十三五”时期的各项任务，这是区委、区政府认真贯彻落实以习近平同志为核心的党中央新时期各项方针政策的结果；这是</w:t>
      </w:r>
      <w:r>
        <w:rPr>
          <w:rFonts w:hint="eastAsia" w:ascii="仿宋" w:hAnsi="仿宋" w:eastAsia="仿宋" w:cs="仿宋"/>
          <w:b w:val="0"/>
          <w:bCs/>
          <w:color w:val="auto"/>
          <w:sz w:val="24"/>
          <w:szCs w:val="24"/>
          <w:lang w:val="en-US" w:eastAsia="zh-CN"/>
        </w:rPr>
        <w:t>白云矿区</w:t>
      </w:r>
      <w:r>
        <w:rPr>
          <w:rFonts w:hint="eastAsia" w:ascii="仿宋" w:hAnsi="仿宋" w:eastAsia="仿宋" w:cs="仿宋"/>
          <w:bCs/>
          <w:color w:val="auto"/>
          <w:sz w:val="24"/>
          <w:szCs w:val="24"/>
          <w:lang w:val="en-US" w:eastAsia="zh-CN"/>
        </w:rPr>
        <w:t>各族人民群众发扬</w:t>
      </w:r>
      <w:r>
        <w:rPr>
          <w:rFonts w:hint="eastAsia" w:ascii="仿宋" w:hAnsi="仿宋" w:eastAsia="仿宋" w:cs="仿宋"/>
          <w:bCs/>
          <w:color w:val="000000" w:themeColor="text1"/>
          <w:sz w:val="24"/>
          <w:szCs w:val="24"/>
          <w:lang w:val="en-US" w:eastAsia="zh-CN"/>
          <w14:textFill>
            <w14:solidFill>
              <w14:schemeClr w14:val="tx1"/>
            </w14:solidFill>
          </w14:textFill>
        </w:rPr>
        <w:t>“蒙古马”精神、“铁花”精神，</w:t>
      </w:r>
      <w:r>
        <w:rPr>
          <w:rFonts w:hint="eastAsia" w:ascii="仿宋" w:hAnsi="仿宋" w:eastAsia="仿宋" w:cs="仿宋"/>
          <w:bCs/>
          <w:color w:val="auto"/>
          <w:sz w:val="24"/>
          <w:szCs w:val="24"/>
          <w:lang w:val="en-US" w:eastAsia="zh-CN"/>
        </w:rPr>
        <w:t>同心同德努力奋斗的结果；这也是社会主义制度优势生生不息的结果。</w:t>
      </w:r>
    </w:p>
    <w:p w14:paraId="066DD0BC">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我们必须清醒地看到，过去五年的发展，既奠定了未来发展的基础，但也存在着诸多制约因素和发展难点，主要表现在：综合经济实力不强，经济总量偏小，对全市经济发展贡献有限；产业发展整体水平不高，产业结构依然以矿山采选、稀土初级加工等前端初级加工业为主，矿产资源综合开发利用深度不够，深加工产品、高附加值产品占比偏低，尚未形成全产业链条；稀土、萤石等资源就地加工转化优势没有充分发挥，产业带动效应不明显；生产型服务业发展滞后，与当地经济发展需要不匹配，竞争力较弱；科研力量薄弱，科技投入不足，科技成果转化能力弱，科技创新对当地经济发展、产业转型的贡献度不足；社会事业发展存在短板，基本服务供给不足、服务档次有待提高，现代化建设任重道远。</w:t>
      </w:r>
    </w:p>
    <w:p w14:paraId="0616BB98">
      <w:pPr>
        <w:pStyle w:val="4"/>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20" w:lineRule="exact"/>
        <w:ind w:firstLine="562" w:firstLineChars="200"/>
        <w:jc w:val="center"/>
        <w:textAlignment w:val="auto"/>
        <w:rPr>
          <w:rFonts w:hint="eastAsia" w:ascii="宋体" w:hAnsi="宋体" w:eastAsia="宋体" w:cs="宋体"/>
          <w:sz w:val="28"/>
          <w:szCs w:val="28"/>
          <w:lang w:val="en-US" w:eastAsia="zh-CN"/>
        </w:rPr>
      </w:pPr>
      <w:bookmarkStart w:id="70" w:name="_Toc13995"/>
      <w:bookmarkStart w:id="71" w:name="_Toc5228"/>
      <w:bookmarkStart w:id="72" w:name="_Toc7480"/>
      <w:r>
        <w:rPr>
          <w:rFonts w:hint="eastAsia" w:ascii="宋体" w:hAnsi="宋体" w:eastAsia="宋体" w:cs="宋体"/>
          <w:sz w:val="28"/>
          <w:szCs w:val="28"/>
          <w:lang w:val="en-US" w:eastAsia="zh-CN"/>
        </w:rPr>
        <w:t>第二节 面临的形势</w:t>
      </w:r>
      <w:bookmarkEnd w:id="70"/>
      <w:bookmarkEnd w:id="71"/>
      <w:bookmarkEnd w:id="72"/>
    </w:p>
    <w:p w14:paraId="2218A9ED">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“十四五”时期是我国构建以国内大循环为主体，国内国际双循环发展的关键时期，也是白云矿区经济发展的重要转型期。挑战和机遇并存，挑战大于机遇。</w:t>
      </w:r>
    </w:p>
    <w:p w14:paraId="586D0954">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——从机遇看，</w:t>
      </w:r>
      <w:r>
        <w:rPr>
          <w:rFonts w:hint="eastAsia" w:ascii="仿宋" w:hAnsi="仿宋" w:eastAsia="仿宋" w:cs="仿宋"/>
          <w:b w:val="0"/>
          <w:bCs/>
          <w:color w:val="auto"/>
          <w:kern w:val="2"/>
          <w:sz w:val="24"/>
          <w:szCs w:val="24"/>
          <w:lang w:val="en-US" w:eastAsia="zh-CN" w:bidi="ar-SA"/>
        </w:rPr>
        <w:t>我国仍处于重要战略机遇期，机遇中面临着新的挑战，风险中孕育着大的机遇。从国内发展环境看，经过多年快速发展，我国整体国力有了大幅提升，经济总规模已跃升到世界第二位，为未来发展奠定了较好的基础，目前我国已全面转入高质量发展阶段，已具备了多方面的发展优势和有利条件。从国际发展环境看，新一轮科技革命和产业变革正在全世界孕育兴起，生物、新能源、新材料领域科技创新引领新一轮科技革命，5G技术、人工智能、物联网、区块链等新一代信息技术正在向各领域渗透，并颠覆着现有生产生活方式，特别是肆虐全球的新冠病毒引发了全球产业链分工和生产组织网络的重大调整，彻底改变了国家间的比较优势和发展位势，为中国崛起提供了重大契机。</w:t>
      </w:r>
    </w:p>
    <w:p w14:paraId="235817A5">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val="0"/>
          <w:bCs/>
          <w:color w:val="auto"/>
          <w:kern w:val="2"/>
          <w:sz w:val="24"/>
          <w:szCs w:val="24"/>
          <w:lang w:val="en-US" w:eastAsia="zh-CN" w:bidi="ar-SA"/>
        </w:rPr>
        <w:t>从</w:t>
      </w: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我区</w:t>
      </w:r>
      <w:r>
        <w:rPr>
          <w:rFonts w:hint="eastAsia" w:ascii="仿宋" w:hAnsi="仿宋" w:eastAsia="仿宋" w:cs="仿宋"/>
          <w:b w:val="0"/>
          <w:bCs/>
          <w:color w:val="auto"/>
          <w:kern w:val="2"/>
          <w:sz w:val="24"/>
          <w:szCs w:val="24"/>
          <w:lang w:val="en-US" w:eastAsia="zh-CN" w:bidi="ar-SA"/>
        </w:rPr>
        <w:t>发展环境看，目前白云矿区正处在政策利好叠加期，一是习近平总书记对内蒙古的殷切嘱托已为内蒙古今后发展绘制了蓝图总纲，为未来的发展指明了方向，提供了根本遵循。只要白云矿区深入贯彻落实“生态优先、绿色发展”战略，有序推进经济社会建设，必将得到国家、自治区的大力支持。二是</w:t>
      </w:r>
      <w:r>
        <w:rPr>
          <w:rFonts w:hint="eastAsia" w:ascii="仿宋" w:hAnsi="仿宋" w:eastAsia="仿宋" w:cs="仿宋"/>
          <w:bCs/>
          <w:color w:val="auto"/>
          <w:sz w:val="24"/>
          <w:szCs w:val="24"/>
          <w:lang w:val="en-US" w:eastAsia="zh-CN"/>
        </w:rPr>
        <w:t>包头市“十四五”规划纲要提出的“四基地两中心一高地一体系”发展战略，为我区发展“风光新能源产业”提供了重要机遇。三是白云矿区是国家重要的战略资源区，包头市是我国中西部重要工业城市，在未来发展中，白云矿区必将成为包头市经济发展的重要支撑。正在实施的包头市山北地区协同发展战略将进一步明确白云矿区的发展定位，助力形成区域优势。四是包钢集团正在重新调整产业布局，逐步将前端产业、初级加工向山北地区转移，这为白云矿区主动承接包钢产业转移、延伸产业链条、开发高附加值产品、提高配套服务能力提供了机遇与可能。</w:t>
      </w:r>
    </w:p>
    <w:p w14:paraId="340E340D">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——从挑战看，</w:t>
      </w:r>
      <w:r>
        <w:rPr>
          <w:rFonts w:hint="eastAsia" w:ascii="仿宋" w:hAnsi="仿宋" w:eastAsia="仿宋" w:cs="仿宋"/>
          <w:bCs/>
          <w:color w:val="auto"/>
          <w:sz w:val="24"/>
          <w:szCs w:val="24"/>
          <w:lang w:val="en-US" w:eastAsia="zh-CN"/>
        </w:rPr>
        <w:t>当今世界正经历百年未有之大变局，新冠疫情暴发使世界经济进入深度调整之中，经济一体化遭遇逆流，传统增长动能不断减弱，国际经济秩序面临的风险和不确定性显著上升。</w:t>
      </w:r>
    </w:p>
    <w:p w14:paraId="0D50FCAB">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 xml:space="preserve">目前，我国经济发展虽然率先实现复苏，但发展不平衡、不充分问题仍然存在，环境保护、碳排放约束、高技术封锁等因素影响着我国经济的健康发展，巩固培植国内经济循环链，重建国外经贸秩序，深化重点领域、关键环节的改革依然是我国未来经济发展的重点，今后我国经济发展将更多依赖于国内市场。    </w:t>
      </w:r>
    </w:p>
    <w:p w14:paraId="635E054A">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未来一个时期，白云矿区不仅面临着日益趋紧的生态环境约束，而且还将面临着体制转型、产业升级的发展要求，生态保护、节能减排、产业发展将面临严峻考验。面对挑战，白云矿区必须坚定践行绿色生态发展理念，走以“生态优先、绿色发展”的高质量发展新路子。把思想和行动统一到党中央对形势的判断和决策部署上，坚持目标导向和问题导向，自觉把白云矿区的发展融入国家、自治区、包头市的大局中，从动态变化的内外部发展条件中抢抓机遇，顺势而为。</w:t>
      </w:r>
    </w:p>
    <w:p w14:paraId="450A8A38">
      <w:pPr>
        <w:pStyle w:val="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20" w:lineRule="exact"/>
        <w:jc w:val="center"/>
        <w:textAlignment w:val="auto"/>
        <w:rPr>
          <w:rFonts w:hint="eastAsia" w:ascii="宋体" w:hAnsi="宋体" w:eastAsia="宋体" w:cs="宋体"/>
          <w:b/>
          <w:bCs/>
          <w:color w:val="auto"/>
          <w:sz w:val="28"/>
          <w:szCs w:val="28"/>
          <w:lang w:val="en-US" w:eastAsia="zh-CN"/>
        </w:rPr>
      </w:pPr>
      <w:bookmarkStart w:id="73" w:name="_Toc24175"/>
      <w:bookmarkStart w:id="74" w:name="_Toc22917"/>
      <w:bookmarkStart w:id="75" w:name="_Toc19759"/>
      <w:r>
        <w:rPr>
          <w:rFonts w:hint="eastAsia" w:ascii="宋体" w:hAnsi="宋体" w:eastAsia="宋体" w:cs="宋体"/>
          <w:b/>
          <w:bCs/>
          <w:color w:val="auto"/>
          <w:sz w:val="28"/>
          <w:szCs w:val="28"/>
          <w:lang w:val="en-US" w:eastAsia="zh-CN"/>
        </w:rPr>
        <w:t xml:space="preserve">第三节 </w:t>
      </w:r>
      <w:r>
        <w:rPr>
          <w:rFonts w:hint="eastAsia" w:ascii="宋体" w:hAnsi="宋体" w:cs="宋体"/>
          <w:b/>
          <w:bCs/>
          <w:color w:val="auto"/>
          <w:sz w:val="28"/>
          <w:szCs w:val="28"/>
          <w:lang w:val="en-US" w:eastAsia="zh-CN"/>
        </w:rPr>
        <w:t>2035</w:t>
      </w:r>
      <w:r>
        <w:rPr>
          <w:rFonts w:hint="eastAsia" w:ascii="宋体" w:hAnsi="宋体" w:eastAsia="宋体" w:cs="宋体"/>
          <w:b/>
          <w:bCs/>
          <w:color w:val="auto"/>
          <w:sz w:val="28"/>
          <w:szCs w:val="28"/>
          <w:lang w:eastAsia="zh-CN"/>
        </w:rPr>
        <w:t>年</w:t>
      </w:r>
      <w:r>
        <w:rPr>
          <w:rFonts w:hint="eastAsia" w:ascii="宋体" w:hAnsi="宋体" w:eastAsia="宋体" w:cs="宋体"/>
          <w:b/>
          <w:bCs/>
          <w:color w:val="auto"/>
          <w:sz w:val="28"/>
          <w:szCs w:val="28"/>
          <w:lang w:val="en-US" w:eastAsia="zh-CN"/>
        </w:rPr>
        <w:t>远景目标</w:t>
      </w:r>
      <w:bookmarkEnd w:id="73"/>
      <w:bookmarkEnd w:id="74"/>
      <w:bookmarkEnd w:id="75"/>
    </w:p>
    <w:p w14:paraId="49E59542">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展望2035年，白云矿区经济实力、创新能力、开放活力大幅跃升，新旧发展动能转化基本完成；经济总量和全市排名均跃上更高台阶，符合发展定位、富有区域特色的现代产业体系、区域创新体系、开放发展体系、基础设施体系全面建成，新型工业化、信息化基本实现，建设成为包头市新发展格局中的重要组成部分；社会事业各领域发展实现与全市同步，城市文明程度和各民族团结进步达到新高度，文化软实力显著增强；生态环境建设取得重大成效，绿色生产生活方式广泛形成，碳达峰碳中和任务如期实现，生态环境更加优美，美丽白云基本建成，城市建设干净整洁、舒适便捷；法治白云、平安白云建设达到更高水平，治理体系和治理能力建设基本实现现代化；人的全面发展、全体人民共同富裕取得更为明显的实质性进展，全域公共服务实现均等化，居民生活水平显著提高，人民群众的获得感、幸福感、安全感更强。</w:t>
      </w:r>
    </w:p>
    <w:p w14:paraId="5C466A5E">
      <w:pPr>
        <w:pStyle w:val="2"/>
        <w:outlineLvl w:val="9"/>
        <w:rPr>
          <w:rFonts w:hint="eastAsia" w:ascii="仿宋" w:hAnsi="仿宋" w:eastAsia="仿宋" w:cs="仿宋"/>
          <w:bCs/>
          <w:color w:val="auto"/>
          <w:sz w:val="24"/>
          <w:szCs w:val="24"/>
          <w:lang w:val="en-US" w:eastAsia="zh-CN"/>
        </w:rPr>
      </w:pPr>
    </w:p>
    <w:p w14:paraId="2F001D8E">
      <w:pPr>
        <w:rPr>
          <w:rFonts w:hint="eastAsia" w:ascii="仿宋" w:hAnsi="仿宋" w:eastAsia="仿宋" w:cs="仿宋"/>
          <w:bCs/>
          <w:color w:val="auto"/>
          <w:sz w:val="24"/>
          <w:szCs w:val="24"/>
          <w:lang w:val="en-US" w:eastAsia="zh-CN"/>
        </w:rPr>
      </w:pPr>
    </w:p>
    <w:p w14:paraId="775BF7C0">
      <w:pPr>
        <w:pStyle w:val="2"/>
        <w:outlineLvl w:val="9"/>
        <w:rPr>
          <w:rFonts w:hint="eastAsia" w:ascii="仿宋" w:hAnsi="仿宋" w:eastAsia="仿宋" w:cs="仿宋"/>
          <w:bCs/>
          <w:color w:val="auto"/>
          <w:sz w:val="24"/>
          <w:szCs w:val="24"/>
          <w:lang w:val="en-US" w:eastAsia="zh-CN"/>
        </w:rPr>
      </w:pPr>
    </w:p>
    <w:p w14:paraId="328CB0AF">
      <w:pPr>
        <w:rPr>
          <w:rFonts w:hint="eastAsia" w:ascii="仿宋" w:hAnsi="仿宋" w:eastAsia="仿宋" w:cs="仿宋"/>
          <w:bCs/>
          <w:color w:val="auto"/>
          <w:sz w:val="24"/>
          <w:szCs w:val="24"/>
          <w:lang w:val="en-US" w:eastAsia="zh-CN"/>
        </w:rPr>
      </w:pPr>
    </w:p>
    <w:p w14:paraId="0F6AFDAC">
      <w:pPr>
        <w:pStyle w:val="2"/>
        <w:outlineLvl w:val="9"/>
        <w:rPr>
          <w:rFonts w:hint="eastAsia" w:ascii="仿宋" w:hAnsi="仿宋" w:eastAsia="仿宋" w:cs="仿宋"/>
          <w:bCs/>
          <w:color w:val="auto"/>
          <w:sz w:val="24"/>
          <w:szCs w:val="24"/>
          <w:lang w:val="en-US" w:eastAsia="zh-CN"/>
        </w:rPr>
      </w:pPr>
    </w:p>
    <w:p w14:paraId="2A384D8D">
      <w:pPr>
        <w:rPr>
          <w:rFonts w:hint="eastAsia" w:ascii="仿宋" w:hAnsi="仿宋" w:eastAsia="仿宋" w:cs="仿宋"/>
          <w:bCs/>
          <w:color w:val="auto"/>
          <w:sz w:val="24"/>
          <w:szCs w:val="24"/>
          <w:lang w:val="en-US" w:eastAsia="zh-CN"/>
        </w:rPr>
      </w:pPr>
    </w:p>
    <w:p w14:paraId="12D1F199">
      <w:pPr>
        <w:pStyle w:val="2"/>
        <w:outlineLvl w:val="9"/>
        <w:rPr>
          <w:rFonts w:hint="eastAsia" w:ascii="仿宋" w:hAnsi="仿宋" w:eastAsia="仿宋" w:cs="仿宋"/>
          <w:bCs/>
          <w:color w:val="auto"/>
          <w:sz w:val="24"/>
          <w:szCs w:val="24"/>
          <w:lang w:val="en-US" w:eastAsia="zh-CN"/>
        </w:rPr>
      </w:pPr>
    </w:p>
    <w:p w14:paraId="43DC1C59">
      <w:pPr>
        <w:rPr>
          <w:rFonts w:hint="eastAsia" w:ascii="仿宋" w:hAnsi="仿宋" w:eastAsia="仿宋" w:cs="仿宋"/>
          <w:bCs/>
          <w:color w:val="auto"/>
          <w:sz w:val="24"/>
          <w:szCs w:val="24"/>
          <w:lang w:val="en-US" w:eastAsia="zh-CN"/>
        </w:rPr>
      </w:pPr>
    </w:p>
    <w:p w14:paraId="40065A54">
      <w:pPr>
        <w:pStyle w:val="2"/>
        <w:outlineLvl w:val="9"/>
        <w:rPr>
          <w:rFonts w:hint="eastAsia" w:ascii="仿宋" w:hAnsi="仿宋" w:eastAsia="仿宋" w:cs="仿宋"/>
          <w:bCs/>
          <w:color w:val="auto"/>
          <w:sz w:val="24"/>
          <w:szCs w:val="24"/>
          <w:lang w:val="en-US" w:eastAsia="zh-CN"/>
        </w:rPr>
      </w:pPr>
    </w:p>
    <w:p w14:paraId="7508BE26">
      <w:pPr>
        <w:rPr>
          <w:rFonts w:hint="eastAsia" w:ascii="仿宋" w:hAnsi="仿宋" w:eastAsia="仿宋" w:cs="仿宋"/>
          <w:bCs/>
          <w:color w:val="auto"/>
          <w:sz w:val="24"/>
          <w:szCs w:val="24"/>
          <w:lang w:val="en-US" w:eastAsia="zh-CN"/>
        </w:rPr>
      </w:pPr>
    </w:p>
    <w:p w14:paraId="1757BA5E">
      <w:pPr>
        <w:pStyle w:val="2"/>
        <w:outlineLvl w:val="9"/>
        <w:rPr>
          <w:rFonts w:hint="eastAsia" w:ascii="仿宋" w:hAnsi="仿宋" w:eastAsia="仿宋" w:cs="仿宋"/>
          <w:bCs/>
          <w:color w:val="auto"/>
          <w:sz w:val="24"/>
          <w:szCs w:val="24"/>
          <w:lang w:val="en-US" w:eastAsia="zh-CN"/>
        </w:rPr>
      </w:pPr>
    </w:p>
    <w:p w14:paraId="24284B1C">
      <w:pPr>
        <w:rPr>
          <w:rFonts w:hint="eastAsia" w:ascii="仿宋" w:hAnsi="仿宋" w:eastAsia="仿宋" w:cs="仿宋"/>
          <w:bCs/>
          <w:color w:val="auto"/>
          <w:sz w:val="24"/>
          <w:szCs w:val="24"/>
          <w:lang w:val="en-US" w:eastAsia="zh-CN"/>
        </w:rPr>
      </w:pPr>
    </w:p>
    <w:p w14:paraId="629690AC">
      <w:pPr>
        <w:pStyle w:val="2"/>
        <w:outlineLvl w:val="9"/>
        <w:rPr>
          <w:rFonts w:hint="eastAsia" w:ascii="仿宋" w:hAnsi="仿宋" w:eastAsia="仿宋" w:cs="仿宋"/>
          <w:bCs/>
          <w:color w:val="auto"/>
          <w:sz w:val="24"/>
          <w:szCs w:val="24"/>
          <w:lang w:val="en-US" w:eastAsia="zh-CN"/>
        </w:rPr>
      </w:pPr>
    </w:p>
    <w:p w14:paraId="0FDDE72C">
      <w:pPr>
        <w:rPr>
          <w:rFonts w:hint="eastAsia" w:ascii="仿宋" w:hAnsi="仿宋" w:eastAsia="仿宋" w:cs="仿宋"/>
          <w:bCs/>
          <w:color w:val="auto"/>
          <w:sz w:val="24"/>
          <w:szCs w:val="24"/>
          <w:lang w:val="en-US" w:eastAsia="zh-CN"/>
        </w:rPr>
      </w:pPr>
    </w:p>
    <w:p w14:paraId="58A959D9">
      <w:pPr>
        <w:pStyle w:val="2"/>
        <w:outlineLvl w:val="9"/>
        <w:rPr>
          <w:rFonts w:hint="eastAsia"/>
          <w:lang w:val="en-US" w:eastAsia="zh-CN"/>
        </w:rPr>
      </w:pPr>
    </w:p>
    <w:p w14:paraId="448DDF9F">
      <w:pPr>
        <w:pageBreakBefore w:val="0"/>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p>
    <w:p w14:paraId="02F2993D">
      <w:pPr>
        <w:pStyle w:val="3"/>
        <w:pageBreakBefore w:val="0"/>
        <w:numPr>
          <w:ilvl w:val="0"/>
          <w:numId w:val="1"/>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76" w:name="_Toc4999"/>
      <w:bookmarkStart w:id="77" w:name="_Toc8025"/>
      <w:bookmarkStart w:id="78" w:name="_Toc20737"/>
      <w:r>
        <w:rPr>
          <w:rFonts w:hint="eastAsia" w:ascii="Cambria" w:hAnsi="Cambria" w:eastAsia="方正黑体简体" w:cs="Times New Roman"/>
          <w:b w:val="0"/>
          <w:bCs/>
          <w:kern w:val="0"/>
          <w:sz w:val="28"/>
          <w:szCs w:val="32"/>
          <w:lang w:val="en-US" w:eastAsia="zh-CN" w:bidi="ar-SA"/>
        </w:rPr>
        <w:t>指导方针与发展目标</w:t>
      </w:r>
      <w:bookmarkEnd w:id="76"/>
      <w:bookmarkEnd w:id="77"/>
      <w:bookmarkEnd w:id="78"/>
    </w:p>
    <w:p w14:paraId="745ACC7E">
      <w:pPr>
        <w:pageBreakBefore w:val="0"/>
        <w:numPr>
          <w:ilvl w:val="0"/>
          <w:numId w:val="0"/>
        </w:numPr>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p>
    <w:p w14:paraId="1D39BEEC">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按照中央决策部署以及自治区党委、包头市委工作安排，科学确定符合区情的白云矿区总体发展战略、指导思想和奋斗目标。</w:t>
      </w:r>
    </w:p>
    <w:p w14:paraId="280962D4">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79" w:name="_Toc15793"/>
      <w:bookmarkStart w:id="80" w:name="_Toc21099"/>
      <w:bookmarkStart w:id="81" w:name="_Toc29925"/>
      <w:bookmarkStart w:id="82" w:name="_Toc20388"/>
      <w:r>
        <w:rPr>
          <w:rFonts w:hint="eastAsia" w:ascii="宋体" w:hAnsi="宋体" w:eastAsia="宋体" w:cs="宋体"/>
          <w:sz w:val="28"/>
          <w:szCs w:val="28"/>
          <w:lang w:val="en-US" w:eastAsia="zh-CN"/>
        </w:rPr>
        <w:t xml:space="preserve">第一节 </w:t>
      </w:r>
      <w:r>
        <w:rPr>
          <w:rFonts w:hint="eastAsia" w:ascii="宋体" w:hAnsi="宋体" w:eastAsia="宋体" w:cs="宋体"/>
          <w:sz w:val="28"/>
          <w:szCs w:val="28"/>
        </w:rPr>
        <w:t>指导思想</w:t>
      </w:r>
      <w:bookmarkEnd w:id="79"/>
      <w:bookmarkEnd w:id="80"/>
      <w:bookmarkEnd w:id="81"/>
      <w:bookmarkEnd w:id="82"/>
    </w:p>
    <w:p w14:paraId="3F700226">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0" w:firstLineChars="200"/>
        <w:textAlignment w:val="auto"/>
        <w:rPr>
          <w:rFonts w:hint="eastAsia" w:ascii="仿宋" w:hAnsi="仿宋" w:eastAsia="仿宋" w:cs="仿宋"/>
          <w:bCs/>
          <w:color w:val="auto"/>
          <w:sz w:val="24"/>
          <w:szCs w:val="24"/>
          <w:lang w:val="en-US" w:eastAsia="zh-CN"/>
        </w:rPr>
      </w:pPr>
      <w:bookmarkStart w:id="83" w:name="_Toc24807"/>
      <w:r>
        <w:rPr>
          <w:rFonts w:hint="eastAsia" w:ascii="仿宋" w:hAnsi="仿宋" w:eastAsia="仿宋" w:cs="仿宋"/>
          <w:bCs/>
          <w:color w:val="auto"/>
          <w:sz w:val="24"/>
          <w:szCs w:val="24"/>
          <w:lang w:val="en-US" w:eastAsia="zh-CN"/>
        </w:rPr>
        <w:t>以习近平新时代中国特色社会主义思想为指导，深入贯彻党的全会精神，全面落实习近平总书记对内蒙古重要讲话重要指示批示，坚持新发展理念，开创新发展格局，坚定不移走以“生态优先、绿色发展”为导向的高质量发展新路子；以改革创新为根本动力，以满足人民日益增长的美好生活需要为根本目标，统筹发展和安全，主动衔接自治区“两个屏障”、“两个基地”和“一个桥头堡”的战略定位，积极参与全市“四基地两中心一高地一体系”建设；立足国家级独立工矿区体制特色和资源富集区优势，打好“稀土牌”、“资源牌”；重点打造国家级矿产资源综合利用示范基地、国家级绿色矿山示范基地、新能源输出基地、蒙西特色旅游基地，努力建设绿色循环发展城区、改革创新融合城区、飞地跨境示范区、5G应用先行区、幸福平安生活城区。推进城市治理体系和治理能力现代化，促进各民族团结进步，全力打造繁荣昌盛、欣欣向荣、和谐宜居、富有活力的新时代中国特色社会主义现代化新白云。</w:t>
      </w:r>
    </w:p>
    <w:p w14:paraId="3A39C04F">
      <w:pPr>
        <w:pStyle w:val="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84" w:name="_Toc1997"/>
      <w:bookmarkStart w:id="85" w:name="_Toc3615"/>
      <w:bookmarkStart w:id="86" w:name="_Toc15473"/>
      <w:r>
        <w:rPr>
          <w:rFonts w:hint="eastAsia" w:ascii="宋体" w:hAnsi="宋体" w:eastAsia="宋体" w:cs="宋体"/>
          <w:sz w:val="28"/>
          <w:szCs w:val="28"/>
          <w:lang w:val="en-US" w:eastAsia="zh-CN"/>
        </w:rPr>
        <w:t>第二节 基本原则</w:t>
      </w:r>
      <w:bookmarkEnd w:id="83"/>
      <w:bookmarkEnd w:id="84"/>
      <w:bookmarkEnd w:id="85"/>
      <w:bookmarkEnd w:id="86"/>
    </w:p>
    <w:p w14:paraId="55D6B9C5">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——坚持党的全面领导。</w:t>
      </w:r>
      <w:r>
        <w:rPr>
          <w:rFonts w:hint="eastAsia" w:ascii="仿宋" w:hAnsi="仿宋" w:eastAsia="仿宋" w:cs="仿宋"/>
          <w:bCs/>
          <w:color w:val="auto"/>
          <w:sz w:val="24"/>
          <w:szCs w:val="24"/>
          <w:lang w:val="en-US" w:eastAsia="zh-CN"/>
        </w:rPr>
        <w:t>坚持和贯彻党领导经济社会发展的指导思想，不折不扣贯彻习近平新时代中国特色社会主义思想和习近平总书记关于内蒙古工作的重要讲话和重要指示批示精神。把落实党中央的大政方针和各项决策部署作为政治责任，不断提高贯彻新发展理念、构建新发展格局的能力和水平，为实现高质量发展提供根本保证。</w:t>
      </w:r>
    </w:p>
    <w:p w14:paraId="18037D01">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——坚持以人民为中心。</w:t>
      </w:r>
      <w:r>
        <w:rPr>
          <w:rFonts w:hint="eastAsia" w:ascii="仿宋" w:hAnsi="仿宋" w:eastAsia="仿宋" w:cs="仿宋"/>
          <w:bCs/>
          <w:color w:val="auto"/>
          <w:sz w:val="24"/>
          <w:szCs w:val="24"/>
          <w:lang w:val="en-US" w:eastAsia="zh-CN"/>
        </w:rPr>
        <w:t>完善社会治理体系，坚持人民主体地位，加强普惠性、基础性、兜底性民生建设，把保障改善民生问题放在重要突出位置，抓重点、补短板、强弱项，着力解决教育、医疗、养老等薄弱领域的问题，全方位推动高质量发展，增进民生福祉，不断满足人民群众对美好生活的需要。</w:t>
      </w:r>
    </w:p>
    <w:p w14:paraId="1945349B">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——坚持新发展理念。</w:t>
      </w:r>
      <w:r>
        <w:rPr>
          <w:rFonts w:hint="eastAsia" w:ascii="仿宋" w:hAnsi="仿宋" w:eastAsia="仿宋" w:cs="仿宋"/>
          <w:bCs/>
          <w:color w:val="auto"/>
          <w:sz w:val="24"/>
          <w:szCs w:val="24"/>
          <w:lang w:val="en-US" w:eastAsia="zh-CN"/>
        </w:rPr>
        <w:t xml:space="preserve">立足区情，统筹经济发展和生态环境保护关系，把新发展理念贯穿发展全过程和各领域；坚持创新在现代化建设全局中的核心地位，切实转变发展方式，突破传统路径依赖，改变资源粗放发展模式。重视发展的协调性、可持续性，在高水平保护中促进高质量发展。 </w:t>
      </w:r>
    </w:p>
    <w:p w14:paraId="1EF03636">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——坚持深化改革开放。</w:t>
      </w:r>
      <w:r>
        <w:rPr>
          <w:rFonts w:hint="eastAsia" w:ascii="仿宋" w:hAnsi="仿宋" w:eastAsia="仿宋" w:cs="仿宋"/>
          <w:bCs/>
          <w:color w:val="auto"/>
          <w:sz w:val="24"/>
          <w:szCs w:val="24"/>
          <w:lang w:val="en-US" w:eastAsia="zh-CN"/>
        </w:rPr>
        <w:t>突出抓好关键领域和薄弱环节改革，破除制约高质量发展、高品质生活的体制机制障碍，打造一流营商环境，提高治理体系和治理效能现代化水平，坚持有效市场和有为政府相协调，提高资源配置效率，调动全社会积极性，全民参与重大经济体制改革。</w:t>
      </w:r>
    </w:p>
    <w:p w14:paraId="157BC851">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——坚持系统观念。</w:t>
      </w:r>
      <w:r>
        <w:rPr>
          <w:rFonts w:hint="eastAsia" w:ascii="仿宋" w:hAnsi="仿宋" w:eastAsia="仿宋" w:cs="仿宋"/>
          <w:bCs/>
          <w:color w:val="auto"/>
          <w:sz w:val="24"/>
          <w:szCs w:val="24"/>
          <w:lang w:val="en-US" w:eastAsia="zh-CN"/>
        </w:rPr>
        <w:t>强化“双控”硬约束，筑牢绿色发展安全底线。加强全局性谋划、科学性布局、整体性推进。协调好生态保护和经济发展，兼顾解决当前问题和长期健康发展。改变传统单一经济增长目标指向，既要突出以经济发展为中心，又要统筹政治、文化、社会、生态文明建设，在实现重点目标的同时实现多目标动态平衡。</w:t>
      </w:r>
    </w:p>
    <w:p w14:paraId="66690AB2">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sz w:val="28"/>
          <w:szCs w:val="28"/>
          <w:lang w:val="en-US" w:eastAsia="zh-CN"/>
        </w:rPr>
      </w:pPr>
      <w:bookmarkStart w:id="87" w:name="_Toc20254"/>
      <w:bookmarkStart w:id="88" w:name="_Toc2029"/>
      <w:bookmarkStart w:id="89" w:name="_Toc1691"/>
      <w:r>
        <w:rPr>
          <w:rFonts w:hint="eastAsia" w:ascii="宋体" w:hAnsi="宋体" w:eastAsia="宋体" w:cs="宋体"/>
          <w:color w:val="auto"/>
          <w:sz w:val="28"/>
          <w:szCs w:val="28"/>
          <w:lang w:val="en-US" w:eastAsia="zh-CN"/>
        </w:rPr>
        <w:t xml:space="preserve">第三节 </w:t>
      </w:r>
      <w:r>
        <w:rPr>
          <w:rFonts w:hint="eastAsia" w:ascii="宋体" w:hAnsi="宋体" w:cs="宋体"/>
          <w:color w:val="auto"/>
          <w:sz w:val="28"/>
          <w:szCs w:val="28"/>
          <w:lang w:val="en-US" w:eastAsia="zh-CN"/>
        </w:rPr>
        <w:t>发展</w:t>
      </w:r>
      <w:r>
        <w:rPr>
          <w:rFonts w:hint="eastAsia" w:ascii="宋体" w:hAnsi="宋体" w:eastAsia="宋体" w:cs="宋体"/>
          <w:color w:val="auto"/>
          <w:sz w:val="28"/>
          <w:szCs w:val="28"/>
          <w:lang w:val="en-US" w:eastAsia="zh-CN"/>
        </w:rPr>
        <w:t>目标</w:t>
      </w:r>
      <w:bookmarkEnd w:id="87"/>
      <w:bookmarkEnd w:id="88"/>
      <w:bookmarkEnd w:id="89"/>
    </w:p>
    <w:p w14:paraId="0675499C">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锚定2035年远景目标，经过五年不懈努力，白云矿区现代化建设取得重大发展，产业结构由简单采选向资源综合利用转变，生产方式由资源开发向开发保护并重转变，发展路径由单打独斗向区域协同发展转变，</w:t>
      </w:r>
      <w:r>
        <w:rPr>
          <w:rFonts w:hint="eastAsia" w:ascii="仿宋" w:hAnsi="仿宋" w:eastAsia="仿宋" w:cs="仿宋"/>
          <w:bCs/>
          <w:color w:val="000000" w:themeColor="text1"/>
          <w:sz w:val="24"/>
          <w:szCs w:val="24"/>
          <w:lang w:val="en-US" w:eastAsia="zh-CN"/>
          <w14:textFill>
            <w14:solidFill>
              <w14:schemeClr w14:val="tx1"/>
            </w14:solidFill>
          </w14:textFill>
        </w:rPr>
        <w:t>基本建成全域开发开放的工业园区。重点建成</w:t>
      </w:r>
      <w:r>
        <w:rPr>
          <w:rFonts w:hint="eastAsia" w:ascii="仿宋" w:hAnsi="仿宋" w:eastAsia="仿宋" w:cs="仿宋"/>
          <w:bCs/>
          <w:color w:val="auto"/>
          <w:sz w:val="24"/>
          <w:szCs w:val="24"/>
          <w:lang w:val="en-US" w:eastAsia="zh-CN"/>
        </w:rPr>
        <w:t>国家级矿产资源综合利用示范基地、国家级绿色矿山示范基地、新能源生产输出基地、蒙西特色旅游基地。改革开放实现新跨越，生态文明建设取得重大成效，社会文明程度明显提高，人民生活更加富裕，治理效能不断提升，在矿产资源保护开发利用方面位居全国前列，5G信息化应用领域位居自治区前列，综合实力在自治区旗县区中位次不断前移，城区整体竞争力、影响力持续增强，打造新时代中国特色社会主义现代化新白云取得突破性成果。</w:t>
      </w:r>
    </w:p>
    <w:p w14:paraId="2A83098E">
      <w:pPr>
        <w:pageBreakBefore w:val="0"/>
        <w:kinsoku/>
        <w:wordWrap/>
        <w:overflowPunct/>
        <w:topLinePunct w:val="0"/>
        <w:autoSpaceDE/>
        <w:autoSpaceDN/>
        <w:bidi w:val="0"/>
        <w:spacing w:line="520" w:lineRule="exact"/>
        <w:ind w:firstLine="482"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——建设全域开发开放的工业园区。</w:t>
      </w:r>
      <w:r>
        <w:rPr>
          <w:rFonts w:hint="eastAsia" w:ascii="仿宋" w:hAnsi="仿宋" w:eastAsia="仿宋" w:cs="仿宋"/>
          <w:bCs/>
          <w:color w:val="auto"/>
          <w:sz w:val="24"/>
          <w:szCs w:val="24"/>
          <w:lang w:val="en-US" w:eastAsia="zh-CN"/>
        </w:rPr>
        <w:t>合作共建资源综合利用循环经济园区，实现稀土资源再利用、矿产品综合利用；清洁能源、能源储备、现代服务业、现代物流、飞地经济、文化旅游等新兴产业发展壮大，传统产业基本实现高端化、数字化、智能化、绿色化，新技术、新产品、新业态、新模式初具规模。到2025年，基本建设形成全域开发开放的工业园区。</w:t>
      </w:r>
    </w:p>
    <w:p w14:paraId="0817B237">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——建设国家级矿产资源综合利用示范基地。</w:t>
      </w:r>
      <w:r>
        <w:rPr>
          <w:rFonts w:hint="eastAsia" w:ascii="仿宋" w:hAnsi="仿宋" w:eastAsia="仿宋" w:cs="仿宋"/>
          <w:bCs/>
          <w:color w:val="auto"/>
          <w:sz w:val="24"/>
          <w:szCs w:val="24"/>
          <w:lang w:val="en-US" w:eastAsia="zh-CN"/>
        </w:rPr>
        <w:t>构建矿产资源综合利用产业生态圈，大力发展资源综合利用产业链，延伸矿产深加工产业链，大幅提高矿产资源综合利用率。</w:t>
      </w:r>
      <w:r>
        <w:rPr>
          <w:rFonts w:hint="eastAsia" w:ascii="仿宋" w:hAnsi="仿宋" w:eastAsia="仿宋" w:cs="仿宋"/>
          <w:sz w:val="24"/>
          <w:szCs w:val="24"/>
          <w:lang w:val="en-US" w:eastAsia="zh-CN"/>
        </w:rPr>
        <w:t>依托我区稀土资源优势和成熟的技术条件，</w:t>
      </w:r>
      <w:r>
        <w:rPr>
          <w:rFonts w:hint="eastAsia" w:ascii="仿宋" w:hAnsi="仿宋" w:eastAsia="仿宋" w:cs="仿宋"/>
          <w:bCs/>
          <w:color w:val="auto"/>
          <w:sz w:val="24"/>
          <w:szCs w:val="24"/>
          <w:lang w:val="en-US" w:eastAsia="zh-CN"/>
        </w:rPr>
        <w:t>大力发展</w:t>
      </w:r>
      <w:r>
        <w:rPr>
          <w:rFonts w:hint="eastAsia" w:ascii="仿宋" w:hAnsi="仿宋" w:eastAsia="仿宋" w:cs="仿宋"/>
          <w:sz w:val="24"/>
          <w:szCs w:val="24"/>
          <w:lang w:val="en-US" w:eastAsia="zh-CN"/>
        </w:rPr>
        <w:t>稀土选矿、冶炼基地；依托萤石、铌、钾等战略资源，打造选矿基地、综合利用示范基地</w:t>
      </w:r>
      <w:r>
        <w:rPr>
          <w:rFonts w:hint="eastAsia" w:ascii="仿宋" w:hAnsi="仿宋" w:eastAsia="仿宋" w:cs="仿宋"/>
          <w:bCs/>
          <w:color w:val="auto"/>
          <w:sz w:val="24"/>
          <w:szCs w:val="24"/>
          <w:lang w:val="en-US" w:eastAsia="zh-CN"/>
        </w:rPr>
        <w:t>，支持包头市“全国重要新型材料产业基地”建设。到2025年，建成国家级矿产资源综合利用示范基地。</w:t>
      </w:r>
    </w:p>
    <w:p w14:paraId="686C3900">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——建设国家级绿色矿山示范基地。</w:t>
      </w:r>
      <w:r>
        <w:rPr>
          <w:rFonts w:hint="eastAsia" w:ascii="仿宋" w:hAnsi="仿宋" w:eastAsia="仿宋" w:cs="仿宋"/>
          <w:bCs/>
          <w:color w:val="auto"/>
          <w:sz w:val="24"/>
          <w:szCs w:val="24"/>
          <w:lang w:val="en-US" w:eastAsia="zh-CN"/>
        </w:rPr>
        <w:t>坚持矿产资源开发与环境保护协调发展原则，以“高、新、智、绿”为方向，</w:t>
      </w:r>
      <w:r>
        <w:rPr>
          <w:rFonts w:hint="eastAsia" w:ascii="仿宋" w:hAnsi="仿宋" w:eastAsia="仿宋" w:cs="仿宋"/>
          <w:sz w:val="24"/>
          <w:szCs w:val="24"/>
          <w:lang w:val="en-US" w:eastAsia="zh-CN"/>
        </w:rPr>
        <w:t>加大</w:t>
      </w:r>
      <w:r>
        <w:rPr>
          <w:rFonts w:hint="eastAsia" w:ascii="仿宋" w:hAnsi="仿宋" w:eastAsia="仿宋" w:cs="仿宋"/>
          <w:bCs/>
          <w:color w:val="auto"/>
          <w:sz w:val="24"/>
          <w:szCs w:val="24"/>
          <w:lang w:val="en-US" w:eastAsia="zh-CN"/>
        </w:rPr>
        <w:t>矿山地质环境整治力度，提高土地集约利用水平，实现矿山固废、危废全部集中处理，矿山地质环境恢复治理取得显著成效，采矿区植被覆盖率持续提高，生态环境明显改善。到2025年，基本形成高水平保护与高质量发展融合共生格局，</w:t>
      </w:r>
      <w:r>
        <w:rPr>
          <w:rFonts w:hint="eastAsia" w:ascii="仿宋" w:hAnsi="仿宋" w:eastAsia="仿宋" w:cs="仿宋"/>
          <w:b w:val="0"/>
          <w:bCs/>
          <w:color w:val="auto"/>
          <w:sz w:val="24"/>
          <w:szCs w:val="24"/>
          <w:lang w:val="en-US" w:eastAsia="zh-CN"/>
        </w:rPr>
        <w:t>建成国家级绿色矿山示范基地。</w:t>
      </w:r>
    </w:p>
    <w:p w14:paraId="493A4802">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——建设新能源生产输出基地。</w:t>
      </w:r>
      <w:r>
        <w:rPr>
          <w:rFonts w:hint="eastAsia" w:ascii="仿宋" w:hAnsi="仿宋" w:eastAsia="仿宋" w:cs="仿宋"/>
          <w:bCs/>
          <w:color w:val="auto"/>
          <w:sz w:val="24"/>
          <w:szCs w:val="24"/>
          <w:lang w:val="en-US" w:eastAsia="zh-CN"/>
        </w:rPr>
        <w:t>积极响应包头市建设“全国重要的现代能源产业基地”、“风光氢核新能源产业集群”发展战略，围绕清洁能源的生产、存储、配套零部件维修，建设新能源生产基地、新能源产储供销体系以及相关配套服务体系；积极引进风电、光伏发电制氢、储氢载体、运氢方式等关键技术和工艺，组织开展氢能制造、氢能利用、氢能储存、储氢材料等领域的技术攻关，做大产业集群。到2025年，发展成为包头市重要的新能源生产输出基地。</w:t>
      </w:r>
    </w:p>
    <w:p w14:paraId="1C56C12E">
      <w:pPr>
        <w:pageBreakBefore w:val="0"/>
        <w:kinsoku/>
        <w:wordWrap/>
        <w:overflowPunct/>
        <w:topLinePunct w:val="0"/>
        <w:autoSpaceDE/>
        <w:autoSpaceDN/>
        <w:bidi w:val="0"/>
        <w:spacing w:line="520" w:lineRule="exact"/>
        <w:ind w:firstLine="482" w:firstLineChars="200"/>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——建设蒙西特色旅游基地。</w:t>
      </w:r>
      <w:r>
        <w:rPr>
          <w:rFonts w:hint="eastAsia" w:ascii="仿宋" w:hAnsi="仿宋" w:eastAsia="仿宋" w:cs="仿宋"/>
          <w:bCs/>
          <w:color w:val="auto"/>
          <w:sz w:val="24"/>
          <w:szCs w:val="24"/>
          <w:lang w:val="en-US" w:eastAsia="zh-CN"/>
        </w:rPr>
        <w:t>按照“全域规划、全业态拓展、跨产业融合”的发展理念，</w:t>
      </w:r>
      <w:r>
        <w:rPr>
          <w:rFonts w:hint="eastAsia" w:ascii="仿宋" w:hAnsi="仿宋" w:eastAsia="仿宋" w:cs="仿宋"/>
          <w:sz w:val="24"/>
          <w:szCs w:val="24"/>
          <w:lang w:val="en-US" w:eastAsia="zh-CN"/>
        </w:rPr>
        <w:t>依托世界第一稀土矿、世界级风力发电场、达茂旗草原等旅游资源吸引国内外观光游客，结合草原英雄小姐妹红色事迹和奇石文化等，建设以大矿山、大草原、大风场为主要特色的旅游目的地，</w:t>
      </w:r>
      <w:r>
        <w:rPr>
          <w:rFonts w:hint="eastAsia" w:ascii="仿宋" w:hAnsi="仿宋" w:eastAsia="仿宋" w:cs="仿宋"/>
          <w:bCs/>
          <w:color w:val="auto"/>
          <w:sz w:val="24"/>
          <w:szCs w:val="24"/>
          <w:lang w:val="en-US" w:eastAsia="zh-CN"/>
        </w:rPr>
        <w:t>开发打造“矿山工业游+草原英雄小姐妹红色游+草原休闲游+奇石特色游”的精品旅游线路，建成国家AAAA级旅游景区。全力促进产业与文化融合发展，在“强营销、优服务、提品质、创品牌”上全面发力，构建旅游美食、旅游住宿、旅游交通、旅游景区、旅游购物、旅游演艺等旅游消费链，培优做强一批旅游品牌项目、特色品牌企业和特色旅游产品，发展成为自治区西部地区知名旅游目的地。到2025年</w:t>
      </w:r>
      <w:r>
        <w:rPr>
          <w:rFonts w:hint="eastAsia" w:ascii="仿宋" w:hAnsi="仿宋" w:eastAsia="仿宋" w:cs="仿宋"/>
          <w:b w:val="0"/>
          <w:bCs/>
          <w:color w:val="auto"/>
          <w:sz w:val="24"/>
          <w:szCs w:val="24"/>
          <w:lang w:val="en-US" w:eastAsia="zh-CN"/>
        </w:rPr>
        <w:t>，基本建成蒙西特色旅游基地。</w:t>
      </w:r>
    </w:p>
    <w:p w14:paraId="585A7D42">
      <w:pPr>
        <w:pageBreakBefore w:val="0"/>
        <w:kinsoku/>
        <w:wordWrap/>
        <w:overflowPunct/>
        <w:topLinePunct w:val="0"/>
        <w:autoSpaceDE/>
        <w:autoSpaceDN/>
        <w:bidi w:val="0"/>
        <w:spacing w:line="520" w:lineRule="exact"/>
        <w:ind w:firstLine="482" w:firstLineChars="200"/>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——基本建成绿色循环发展城区。</w:t>
      </w:r>
      <w:r>
        <w:rPr>
          <w:rFonts w:hint="eastAsia" w:ascii="仿宋" w:hAnsi="仿宋" w:eastAsia="仿宋" w:cs="仿宋"/>
          <w:bCs/>
          <w:color w:val="auto"/>
          <w:sz w:val="24"/>
          <w:szCs w:val="24"/>
          <w:lang w:val="en-US" w:eastAsia="zh-CN"/>
        </w:rPr>
        <w:t>立足现有城区基础，结合矿区发展实际，把握人流、物流、以及产业流发展趋势，补齐短板、锻造优势，大力培育新产业、新动能，积极推动“一园区四基地”建设，优化产业结构，延长产业链条，提高资源转化利用效率，实现绿色循环经济。到2025年基本建成</w:t>
      </w:r>
      <w:r>
        <w:rPr>
          <w:rFonts w:hint="eastAsia" w:ascii="仿宋" w:hAnsi="仿宋" w:eastAsia="仿宋" w:cs="仿宋"/>
          <w:b w:val="0"/>
          <w:bCs/>
          <w:color w:val="auto"/>
          <w:sz w:val="24"/>
          <w:szCs w:val="24"/>
          <w:lang w:val="en-US" w:eastAsia="zh-CN"/>
        </w:rPr>
        <w:t>绿色循环发展城区。</w:t>
      </w:r>
    </w:p>
    <w:p w14:paraId="152FF5BF">
      <w:pPr>
        <w:pageBreakBefore w:val="0"/>
        <w:kinsoku/>
        <w:wordWrap/>
        <w:overflowPunct/>
        <w:topLinePunct w:val="0"/>
        <w:autoSpaceDE/>
        <w:autoSpaceDN/>
        <w:bidi w:val="0"/>
        <w:spacing w:line="520" w:lineRule="exact"/>
        <w:ind w:firstLine="482" w:firstLineChars="200"/>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——基本建成改革创新融合城区。</w:t>
      </w:r>
      <w:r>
        <w:rPr>
          <w:rFonts w:hint="eastAsia" w:ascii="仿宋" w:hAnsi="仿宋" w:eastAsia="仿宋" w:cs="仿宋"/>
          <w:bCs/>
          <w:color w:val="auto"/>
          <w:sz w:val="24"/>
          <w:szCs w:val="24"/>
          <w:lang w:val="en-US" w:eastAsia="zh-CN"/>
        </w:rPr>
        <w:t>注重资源优化配置，做好企地融合工作，搭建企地一体化平台，解决好产业协作、产品供销、科技创新、银企对接等资源共享问题。以需求为导向、以项目为载体、以效益为纽带、以政策为保障，构建</w:t>
      </w:r>
      <w:r>
        <w:rPr>
          <w:rFonts w:hint="eastAsia" w:ascii="仿宋" w:hAnsi="仿宋" w:eastAsia="仿宋" w:cs="仿宋"/>
          <w:b w:val="0"/>
          <w:bCs/>
          <w:color w:val="auto"/>
          <w:sz w:val="24"/>
          <w:szCs w:val="24"/>
          <w:lang w:val="en-US" w:eastAsia="zh-CN"/>
        </w:rPr>
        <w:t>改革创新新</w:t>
      </w:r>
      <w:r>
        <w:rPr>
          <w:rFonts w:hint="eastAsia" w:ascii="仿宋" w:hAnsi="仿宋" w:eastAsia="仿宋" w:cs="仿宋"/>
          <w:bCs/>
          <w:color w:val="auto"/>
          <w:sz w:val="24"/>
          <w:szCs w:val="24"/>
          <w:lang w:val="en-US" w:eastAsia="zh-CN"/>
        </w:rPr>
        <w:t>体制。大力营造创新创业生态，吸引发展高水平、多生态的创新主体，打造产学研政深度融合的技术创新体系，提升区域凝聚力、感召力，不断增强服务力，实现企地发展规划一体化、要素保障一体化、园区融合一体化、互通互认一体化、利益链接一体化。到2025年，</w:t>
      </w:r>
      <w:r>
        <w:rPr>
          <w:rFonts w:hint="eastAsia" w:ascii="仿宋" w:hAnsi="仿宋" w:eastAsia="仿宋" w:cs="仿宋"/>
          <w:b w:val="0"/>
          <w:bCs/>
          <w:color w:val="auto"/>
          <w:sz w:val="24"/>
          <w:szCs w:val="24"/>
          <w:lang w:val="en-US" w:eastAsia="zh-CN"/>
        </w:rPr>
        <w:t>基本建成改革创新融合城区。</w:t>
      </w:r>
    </w:p>
    <w:p w14:paraId="3738BCBF">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snapToGrid w:val="0"/>
          <w:spacing w:val="0"/>
          <w:kern w:val="0"/>
          <w:sz w:val="24"/>
          <w:szCs w:val="24"/>
          <w:lang w:eastAsia="zh-CN"/>
        </w:rPr>
      </w:pPr>
      <w:r>
        <w:rPr>
          <w:rFonts w:hint="eastAsia" w:ascii="仿宋" w:hAnsi="仿宋" w:eastAsia="仿宋" w:cs="仿宋"/>
          <w:b/>
          <w:snapToGrid w:val="0"/>
          <w:spacing w:val="0"/>
          <w:kern w:val="0"/>
          <w:sz w:val="24"/>
          <w:szCs w:val="24"/>
          <w:lang w:eastAsia="zh-CN"/>
        </w:rPr>
        <w:t>——基本建成飞地跨境示范城区。</w:t>
      </w:r>
      <w:r>
        <w:rPr>
          <w:rFonts w:hint="eastAsia" w:ascii="仿宋" w:hAnsi="仿宋" w:eastAsia="仿宋" w:cs="仿宋"/>
          <w:snapToGrid w:val="0"/>
          <w:spacing w:val="0"/>
          <w:kern w:val="0"/>
          <w:sz w:val="24"/>
          <w:szCs w:val="24"/>
          <w:lang w:val="en-US" w:eastAsia="zh-CN"/>
        </w:rPr>
        <w:t>依据</w:t>
      </w:r>
      <w:r>
        <w:rPr>
          <w:rFonts w:hint="eastAsia" w:ascii="仿宋" w:hAnsi="仿宋" w:eastAsia="仿宋" w:cs="仿宋"/>
          <w:snapToGrid w:val="0"/>
          <w:spacing w:val="0"/>
          <w:kern w:val="0"/>
          <w:sz w:val="24"/>
          <w:szCs w:val="24"/>
        </w:rPr>
        <w:t>包头市</w:t>
      </w:r>
      <w:r>
        <w:rPr>
          <w:rFonts w:hint="eastAsia" w:ascii="仿宋" w:hAnsi="仿宋" w:eastAsia="仿宋" w:cs="仿宋"/>
          <w:snapToGrid w:val="0"/>
          <w:spacing w:val="0"/>
          <w:kern w:val="0"/>
          <w:sz w:val="24"/>
          <w:szCs w:val="24"/>
          <w:lang w:val="en-US" w:eastAsia="zh-CN"/>
        </w:rPr>
        <w:t>未来</w:t>
      </w:r>
      <w:r>
        <w:rPr>
          <w:rFonts w:hint="eastAsia" w:ascii="仿宋" w:hAnsi="仿宋" w:eastAsia="仿宋" w:cs="仿宋"/>
          <w:snapToGrid w:val="0"/>
          <w:spacing w:val="0"/>
          <w:kern w:val="0"/>
          <w:sz w:val="24"/>
          <w:szCs w:val="24"/>
        </w:rPr>
        <w:t>打造“对外开放新高地”</w:t>
      </w:r>
      <w:r>
        <w:rPr>
          <w:rFonts w:hint="eastAsia" w:ascii="仿宋" w:hAnsi="仿宋" w:eastAsia="仿宋" w:cs="仿宋"/>
          <w:snapToGrid w:val="0"/>
          <w:spacing w:val="0"/>
          <w:kern w:val="0"/>
          <w:sz w:val="24"/>
          <w:szCs w:val="24"/>
          <w:lang w:val="en-US" w:eastAsia="zh-CN"/>
        </w:rPr>
        <w:t>的战略目标</w:t>
      </w:r>
      <w:r>
        <w:rPr>
          <w:rFonts w:hint="eastAsia" w:ascii="仿宋" w:hAnsi="仿宋" w:eastAsia="仿宋" w:cs="仿宋"/>
          <w:snapToGrid w:val="0"/>
          <w:spacing w:val="0"/>
          <w:kern w:val="0"/>
          <w:sz w:val="24"/>
          <w:szCs w:val="24"/>
        </w:rPr>
        <w:t>，</w:t>
      </w:r>
      <w:r>
        <w:rPr>
          <w:rFonts w:hint="eastAsia" w:ascii="仿宋" w:hAnsi="仿宋" w:eastAsia="仿宋" w:cs="仿宋"/>
          <w:snapToGrid w:val="0"/>
          <w:spacing w:val="0"/>
          <w:kern w:val="0"/>
          <w:sz w:val="24"/>
          <w:szCs w:val="24"/>
          <w:lang w:val="en-US" w:eastAsia="zh-CN"/>
        </w:rPr>
        <w:t>积极</w:t>
      </w:r>
      <w:r>
        <w:rPr>
          <w:rFonts w:hint="eastAsia" w:ascii="仿宋" w:hAnsi="仿宋" w:eastAsia="仿宋" w:cs="仿宋"/>
          <w:snapToGrid w:val="0"/>
          <w:spacing w:val="0"/>
          <w:kern w:val="0"/>
          <w:sz w:val="24"/>
          <w:szCs w:val="24"/>
        </w:rPr>
        <w:t>融入“一带一路”</w:t>
      </w:r>
      <w:r>
        <w:rPr>
          <w:rFonts w:hint="eastAsia" w:ascii="仿宋" w:hAnsi="仿宋" w:eastAsia="仿宋" w:cs="仿宋"/>
          <w:snapToGrid w:val="0"/>
          <w:spacing w:val="0"/>
          <w:kern w:val="0"/>
          <w:sz w:val="24"/>
          <w:szCs w:val="24"/>
          <w:lang w:val="en-US" w:eastAsia="zh-CN"/>
        </w:rPr>
        <w:t>建设</w:t>
      </w:r>
      <w:r>
        <w:rPr>
          <w:rFonts w:hint="eastAsia" w:ascii="仿宋" w:hAnsi="仿宋" w:eastAsia="仿宋" w:cs="仿宋"/>
          <w:snapToGrid w:val="0"/>
          <w:spacing w:val="0"/>
          <w:kern w:val="0"/>
          <w:sz w:val="24"/>
          <w:szCs w:val="24"/>
        </w:rPr>
        <w:t>、中蒙俄经济走廊建设。</w:t>
      </w:r>
      <w:r>
        <w:rPr>
          <w:rFonts w:hint="eastAsia" w:ascii="仿宋" w:hAnsi="仿宋" w:eastAsia="仿宋" w:cs="仿宋"/>
          <w:snapToGrid w:val="0"/>
          <w:spacing w:val="0"/>
          <w:kern w:val="0"/>
          <w:sz w:val="24"/>
          <w:szCs w:val="24"/>
          <w:lang w:eastAsia="zh-CN"/>
        </w:rPr>
        <w:t>围绕满都拉至蒙古国跨境公路、铁路建设，</w:t>
      </w:r>
      <w:r>
        <w:rPr>
          <w:rFonts w:hint="eastAsia" w:ascii="仿宋" w:hAnsi="仿宋" w:eastAsia="仿宋" w:cs="仿宋"/>
          <w:snapToGrid w:val="0"/>
          <w:spacing w:val="0"/>
          <w:kern w:val="0"/>
          <w:sz w:val="24"/>
          <w:szCs w:val="24"/>
          <w:lang w:val="en-US" w:eastAsia="zh-CN"/>
        </w:rPr>
        <w:t>积极</w:t>
      </w:r>
      <w:r>
        <w:rPr>
          <w:rFonts w:hint="eastAsia" w:ascii="仿宋" w:hAnsi="仿宋" w:eastAsia="仿宋" w:cs="仿宋"/>
          <w:snapToGrid w:val="0"/>
          <w:spacing w:val="0"/>
          <w:kern w:val="0"/>
          <w:sz w:val="24"/>
          <w:szCs w:val="24"/>
          <w:lang w:eastAsia="zh-CN"/>
        </w:rPr>
        <w:t>推动</w:t>
      </w:r>
      <w:r>
        <w:rPr>
          <w:rFonts w:hint="eastAsia" w:ascii="仿宋" w:hAnsi="仿宋" w:eastAsia="仿宋" w:cs="仿宋"/>
          <w:snapToGrid w:val="0"/>
          <w:spacing w:val="0"/>
          <w:kern w:val="0"/>
          <w:sz w:val="24"/>
          <w:szCs w:val="24"/>
          <w:lang w:val="en-US" w:eastAsia="zh-CN"/>
        </w:rPr>
        <w:t>白云矿区</w:t>
      </w:r>
      <w:r>
        <w:rPr>
          <w:rFonts w:hint="eastAsia" w:ascii="仿宋" w:hAnsi="仿宋" w:eastAsia="仿宋" w:cs="仿宋"/>
          <w:snapToGrid w:val="0"/>
          <w:spacing w:val="0"/>
          <w:kern w:val="0"/>
          <w:sz w:val="24"/>
          <w:szCs w:val="24"/>
          <w:lang w:eastAsia="zh-CN"/>
        </w:rPr>
        <w:t>配套</w:t>
      </w:r>
      <w:r>
        <w:rPr>
          <w:rFonts w:hint="eastAsia" w:ascii="仿宋" w:hAnsi="仿宋" w:eastAsia="仿宋" w:cs="仿宋"/>
          <w:snapToGrid w:val="0"/>
          <w:spacing w:val="0"/>
          <w:kern w:val="0"/>
          <w:sz w:val="24"/>
          <w:szCs w:val="24"/>
        </w:rPr>
        <w:t>物流中转枢纽基地</w:t>
      </w:r>
      <w:r>
        <w:rPr>
          <w:rFonts w:hint="eastAsia" w:ascii="仿宋" w:hAnsi="仿宋" w:eastAsia="仿宋" w:cs="仿宋"/>
          <w:snapToGrid w:val="0"/>
          <w:spacing w:val="0"/>
          <w:kern w:val="0"/>
          <w:sz w:val="24"/>
          <w:szCs w:val="24"/>
          <w:lang w:eastAsia="zh-CN"/>
        </w:rPr>
        <w:t>建设</w:t>
      </w:r>
      <w:r>
        <w:rPr>
          <w:rFonts w:hint="eastAsia" w:ascii="仿宋" w:hAnsi="仿宋" w:eastAsia="仿宋" w:cs="仿宋"/>
          <w:snapToGrid w:val="0"/>
          <w:spacing w:val="0"/>
          <w:kern w:val="0"/>
          <w:sz w:val="24"/>
          <w:szCs w:val="24"/>
        </w:rPr>
        <w:t>，打造以矿产输送、煤炭物流、大宗商品贸易、仓储运输</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lang w:val="en-US" w:eastAsia="zh-CN"/>
        </w:rPr>
        <w:t>线上线下交易</w:t>
      </w:r>
      <w:r>
        <w:rPr>
          <w:rFonts w:hint="eastAsia" w:ascii="仿宋" w:hAnsi="仿宋" w:eastAsia="仿宋" w:cs="仿宋"/>
          <w:snapToGrid w:val="0"/>
          <w:spacing w:val="0"/>
          <w:kern w:val="0"/>
          <w:sz w:val="24"/>
          <w:szCs w:val="24"/>
        </w:rPr>
        <w:t>等现代物流园区。</w:t>
      </w:r>
      <w:r>
        <w:rPr>
          <w:rFonts w:hint="eastAsia" w:ascii="仿宋" w:hAnsi="仿宋" w:eastAsia="仿宋" w:cs="仿宋"/>
          <w:b w:val="0"/>
          <w:bCs/>
          <w:snapToGrid w:val="0"/>
          <w:spacing w:val="0"/>
          <w:kern w:val="0"/>
          <w:sz w:val="24"/>
          <w:szCs w:val="24"/>
          <w:lang w:val="en-US" w:eastAsia="zh-CN"/>
        </w:rPr>
        <w:t>探索</w:t>
      </w:r>
      <w:r>
        <w:rPr>
          <w:rFonts w:hint="eastAsia" w:ascii="仿宋" w:hAnsi="仿宋" w:eastAsia="仿宋" w:cs="仿宋"/>
          <w:b w:val="0"/>
          <w:bCs/>
          <w:snapToGrid w:val="0"/>
          <w:spacing w:val="0"/>
          <w:kern w:val="0"/>
          <w:sz w:val="24"/>
          <w:szCs w:val="24"/>
          <w:lang w:eastAsia="zh-CN"/>
        </w:rPr>
        <w:t>创新飞地经济发展模式，</w:t>
      </w:r>
      <w:r>
        <w:rPr>
          <w:rFonts w:hint="eastAsia" w:ascii="仿宋" w:hAnsi="仿宋" w:eastAsia="仿宋" w:cs="仿宋"/>
          <w:sz w:val="24"/>
          <w:szCs w:val="24"/>
          <w:lang w:val="en-US" w:eastAsia="zh-CN"/>
        </w:rPr>
        <w:t>通过引进、外扩、入驻、融合等灵活方式实现扩量提质、复制推广、腾笼换鸟、优化结构、做大做强的发展目的。飞地经济园区要以主动</w:t>
      </w:r>
      <w:r>
        <w:rPr>
          <w:rFonts w:hint="eastAsia" w:ascii="仿宋" w:hAnsi="仿宋" w:eastAsia="仿宋" w:cs="仿宋"/>
          <w:b w:val="0"/>
          <w:bCs/>
          <w:snapToGrid w:val="0"/>
          <w:spacing w:val="0"/>
          <w:kern w:val="0"/>
          <w:sz w:val="24"/>
          <w:szCs w:val="24"/>
          <w:lang w:eastAsia="zh-CN"/>
        </w:rPr>
        <w:t>融入国内国际双循环</w:t>
      </w:r>
      <w:r>
        <w:rPr>
          <w:rFonts w:hint="eastAsia" w:ascii="仿宋" w:hAnsi="仿宋" w:eastAsia="仿宋" w:cs="仿宋"/>
          <w:b w:val="0"/>
          <w:bCs/>
          <w:snapToGrid w:val="0"/>
          <w:spacing w:val="0"/>
          <w:kern w:val="0"/>
          <w:sz w:val="24"/>
          <w:szCs w:val="24"/>
          <w:lang w:val="en-US" w:eastAsia="zh-CN"/>
        </w:rPr>
        <w:t>为</w:t>
      </w:r>
      <w:r>
        <w:rPr>
          <w:rFonts w:hint="eastAsia" w:ascii="仿宋" w:hAnsi="仿宋" w:eastAsia="仿宋" w:cs="仿宋"/>
          <w:b w:val="0"/>
          <w:bCs/>
          <w:snapToGrid w:val="0"/>
          <w:spacing w:val="0"/>
          <w:kern w:val="0"/>
          <w:sz w:val="24"/>
          <w:szCs w:val="24"/>
          <w:lang w:eastAsia="zh-CN"/>
        </w:rPr>
        <w:t>重要抓手，出台</w:t>
      </w:r>
      <w:r>
        <w:rPr>
          <w:rFonts w:hint="eastAsia" w:ascii="仿宋" w:hAnsi="仿宋" w:eastAsia="仿宋" w:cs="仿宋"/>
          <w:b w:val="0"/>
          <w:bCs/>
          <w:snapToGrid w:val="0"/>
          <w:spacing w:val="0"/>
          <w:kern w:val="0"/>
          <w:sz w:val="24"/>
          <w:szCs w:val="24"/>
          <w:lang w:val="en-US" w:eastAsia="zh-CN"/>
        </w:rPr>
        <w:t>制定</w:t>
      </w:r>
      <w:r>
        <w:rPr>
          <w:rFonts w:hint="eastAsia" w:ascii="仿宋" w:hAnsi="仿宋" w:eastAsia="仿宋" w:cs="仿宋"/>
          <w:b w:val="0"/>
          <w:bCs/>
          <w:snapToGrid w:val="0"/>
          <w:spacing w:val="0"/>
          <w:kern w:val="0"/>
          <w:sz w:val="24"/>
          <w:szCs w:val="24"/>
          <w:lang w:eastAsia="zh-CN"/>
        </w:rPr>
        <w:t>更具吸引力的招商政策和扶持政策，鼓励引进电子商务总部</w:t>
      </w:r>
      <w:r>
        <w:rPr>
          <w:rFonts w:hint="eastAsia" w:ascii="仿宋" w:hAnsi="仿宋" w:eastAsia="仿宋" w:cs="仿宋"/>
          <w:b w:val="0"/>
          <w:bCs/>
          <w:snapToGrid w:val="0"/>
          <w:spacing w:val="0"/>
          <w:kern w:val="0"/>
          <w:sz w:val="24"/>
          <w:szCs w:val="24"/>
          <w:lang w:val="en-US" w:eastAsia="zh-CN"/>
        </w:rPr>
        <w:t>经济</w:t>
      </w:r>
      <w:r>
        <w:rPr>
          <w:rFonts w:hint="eastAsia" w:ascii="仿宋" w:hAnsi="仿宋" w:eastAsia="仿宋" w:cs="仿宋"/>
          <w:b w:val="0"/>
          <w:bCs/>
          <w:snapToGrid w:val="0"/>
          <w:spacing w:val="0"/>
          <w:kern w:val="0"/>
          <w:sz w:val="24"/>
          <w:szCs w:val="24"/>
          <w:lang w:eastAsia="zh-CN"/>
        </w:rPr>
        <w:t>，支持</w:t>
      </w:r>
      <w:r>
        <w:rPr>
          <w:rFonts w:hint="eastAsia" w:ascii="仿宋" w:hAnsi="仿宋" w:eastAsia="仿宋" w:cs="仿宋"/>
          <w:b w:val="0"/>
          <w:bCs/>
          <w:snapToGrid w:val="0"/>
          <w:spacing w:val="0"/>
          <w:kern w:val="0"/>
          <w:sz w:val="24"/>
          <w:szCs w:val="24"/>
          <w:lang w:val="en-US" w:eastAsia="zh-CN"/>
        </w:rPr>
        <w:t>鼓励各</w:t>
      </w:r>
      <w:r>
        <w:rPr>
          <w:rFonts w:hint="eastAsia" w:ascii="仿宋" w:hAnsi="仿宋" w:eastAsia="仿宋" w:cs="仿宋"/>
          <w:b w:val="0"/>
          <w:bCs/>
          <w:snapToGrid w:val="0"/>
          <w:spacing w:val="0"/>
          <w:kern w:val="0"/>
          <w:sz w:val="24"/>
          <w:szCs w:val="24"/>
          <w:lang w:eastAsia="zh-CN"/>
        </w:rPr>
        <w:t>企业创优、创新发展，</w:t>
      </w:r>
      <w:r>
        <w:rPr>
          <w:rFonts w:hint="eastAsia" w:ascii="仿宋" w:hAnsi="仿宋" w:eastAsia="仿宋" w:cs="仿宋"/>
          <w:b w:val="0"/>
          <w:bCs/>
          <w:snapToGrid w:val="0"/>
          <w:spacing w:val="0"/>
          <w:kern w:val="0"/>
          <w:sz w:val="24"/>
          <w:szCs w:val="24"/>
          <w:lang w:val="en-US" w:eastAsia="zh-CN"/>
        </w:rPr>
        <w:t>到2025年，基本</w:t>
      </w:r>
      <w:r>
        <w:rPr>
          <w:rFonts w:hint="eastAsia" w:ascii="仿宋" w:hAnsi="仿宋" w:eastAsia="仿宋" w:cs="仿宋"/>
          <w:b w:val="0"/>
          <w:bCs/>
          <w:snapToGrid w:val="0"/>
          <w:spacing w:val="0"/>
          <w:kern w:val="0"/>
          <w:sz w:val="24"/>
          <w:szCs w:val="24"/>
          <w:lang w:eastAsia="zh-CN"/>
        </w:rPr>
        <w:t>建</w:t>
      </w:r>
      <w:r>
        <w:rPr>
          <w:rFonts w:hint="eastAsia" w:ascii="仿宋" w:hAnsi="仿宋" w:eastAsia="仿宋" w:cs="仿宋"/>
          <w:b w:val="0"/>
          <w:bCs/>
          <w:snapToGrid w:val="0"/>
          <w:spacing w:val="0"/>
          <w:kern w:val="0"/>
          <w:sz w:val="24"/>
          <w:szCs w:val="24"/>
          <w:lang w:val="en-US" w:eastAsia="zh-CN"/>
        </w:rPr>
        <w:t>成国家级</w:t>
      </w:r>
      <w:r>
        <w:rPr>
          <w:rFonts w:hint="eastAsia" w:ascii="仿宋" w:hAnsi="仿宋" w:eastAsia="仿宋" w:cs="仿宋"/>
          <w:snapToGrid w:val="0"/>
          <w:spacing w:val="0"/>
          <w:kern w:val="0"/>
          <w:sz w:val="24"/>
          <w:szCs w:val="24"/>
          <w:lang w:val="en-US" w:eastAsia="zh-CN"/>
        </w:rPr>
        <w:t>电子商务基地和跨境电商产业园</w:t>
      </w:r>
      <w:r>
        <w:rPr>
          <w:rFonts w:hint="eastAsia" w:ascii="仿宋" w:hAnsi="仿宋" w:eastAsia="仿宋" w:cs="仿宋"/>
          <w:snapToGrid w:val="0"/>
          <w:spacing w:val="0"/>
          <w:kern w:val="0"/>
          <w:sz w:val="24"/>
          <w:szCs w:val="24"/>
          <w:lang w:eastAsia="zh-CN"/>
        </w:rPr>
        <w:t>。</w:t>
      </w:r>
    </w:p>
    <w:p w14:paraId="4638A42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snapToGrid w:val="0"/>
          <w:spacing w:val="0"/>
          <w:kern w:val="0"/>
          <w:sz w:val="24"/>
          <w:szCs w:val="24"/>
        </w:rPr>
      </w:pPr>
      <w:r>
        <w:rPr>
          <w:rFonts w:hint="eastAsia" w:ascii="仿宋" w:hAnsi="仿宋" w:eastAsia="仿宋" w:cs="仿宋"/>
          <w:b/>
          <w:snapToGrid w:val="0"/>
          <w:spacing w:val="0"/>
          <w:kern w:val="0"/>
          <w:sz w:val="24"/>
          <w:szCs w:val="24"/>
          <w:lang w:eastAsia="zh-CN"/>
        </w:rPr>
        <w:t>——基本建成</w:t>
      </w:r>
      <w:r>
        <w:rPr>
          <w:rFonts w:hint="eastAsia" w:ascii="仿宋" w:hAnsi="仿宋" w:eastAsia="仿宋" w:cs="仿宋"/>
          <w:b/>
          <w:snapToGrid w:val="0"/>
          <w:spacing w:val="0"/>
          <w:kern w:val="0"/>
          <w:sz w:val="24"/>
          <w:szCs w:val="24"/>
          <w:lang w:val="en-US" w:eastAsia="zh-CN"/>
        </w:rPr>
        <w:t>5G</w:t>
      </w:r>
      <w:r>
        <w:rPr>
          <w:rFonts w:hint="eastAsia" w:ascii="仿宋" w:hAnsi="仿宋" w:eastAsia="仿宋" w:cs="仿宋"/>
          <w:b/>
          <w:snapToGrid w:val="0"/>
          <w:spacing w:val="0"/>
          <w:kern w:val="0"/>
          <w:sz w:val="24"/>
          <w:szCs w:val="24"/>
          <w:lang w:eastAsia="zh-CN"/>
        </w:rPr>
        <w:t>应用先行城区</w:t>
      </w:r>
      <w:r>
        <w:rPr>
          <w:rFonts w:hint="eastAsia" w:ascii="仿宋" w:hAnsi="仿宋" w:eastAsia="仿宋" w:cs="仿宋"/>
          <w:b/>
          <w:snapToGrid w:val="0"/>
          <w:spacing w:val="0"/>
          <w:kern w:val="0"/>
          <w:sz w:val="24"/>
          <w:szCs w:val="24"/>
          <w:lang w:val="en-US" w:eastAsia="zh-CN"/>
        </w:rPr>
        <w:t>。</w:t>
      </w:r>
      <w:r>
        <w:rPr>
          <w:rFonts w:hint="eastAsia" w:ascii="仿宋" w:hAnsi="仿宋" w:eastAsia="仿宋" w:cs="仿宋"/>
          <w:b w:val="0"/>
          <w:bCs w:val="0"/>
          <w:snapToGrid w:val="0"/>
          <w:spacing w:val="0"/>
          <w:kern w:val="0"/>
          <w:sz w:val="24"/>
          <w:szCs w:val="24"/>
        </w:rPr>
        <w:t>以数字化产业、产业数字化和数字化</w:t>
      </w:r>
      <w:r>
        <w:rPr>
          <w:rFonts w:hint="eastAsia" w:ascii="仿宋" w:hAnsi="仿宋" w:eastAsia="仿宋" w:cs="仿宋"/>
          <w:b w:val="0"/>
          <w:bCs w:val="0"/>
          <w:snapToGrid w:val="0"/>
          <w:spacing w:val="0"/>
          <w:kern w:val="0"/>
          <w:sz w:val="24"/>
          <w:szCs w:val="24"/>
          <w:lang w:val="en-US" w:eastAsia="zh-CN"/>
        </w:rPr>
        <w:t>城市</w:t>
      </w:r>
      <w:r>
        <w:rPr>
          <w:rFonts w:hint="eastAsia" w:ascii="仿宋" w:hAnsi="仿宋" w:eastAsia="仿宋" w:cs="仿宋"/>
          <w:b w:val="0"/>
          <w:bCs w:val="0"/>
          <w:snapToGrid w:val="0"/>
          <w:spacing w:val="0"/>
          <w:kern w:val="0"/>
          <w:sz w:val="24"/>
          <w:szCs w:val="24"/>
        </w:rPr>
        <w:t>治理为方向，</w:t>
      </w:r>
      <w:r>
        <w:rPr>
          <w:rFonts w:hint="eastAsia" w:ascii="仿宋" w:hAnsi="仿宋" w:eastAsia="仿宋" w:cs="仿宋"/>
          <w:b w:val="0"/>
          <w:bCs w:val="0"/>
          <w:snapToGrid w:val="0"/>
          <w:spacing w:val="0"/>
          <w:kern w:val="0"/>
          <w:sz w:val="24"/>
          <w:szCs w:val="24"/>
          <w:lang w:val="en-US" w:eastAsia="zh-CN"/>
        </w:rPr>
        <w:t>加快5G</w:t>
      </w:r>
      <w:r>
        <w:rPr>
          <w:rFonts w:hint="eastAsia" w:ascii="仿宋" w:hAnsi="仿宋" w:eastAsia="仿宋" w:cs="仿宋"/>
          <w:b w:val="0"/>
          <w:bCs w:val="0"/>
          <w:snapToGrid w:val="0"/>
          <w:spacing w:val="0"/>
          <w:kern w:val="0"/>
          <w:sz w:val="24"/>
          <w:szCs w:val="24"/>
          <w:lang w:eastAsia="zh-CN"/>
        </w:rPr>
        <w:t>技术</w:t>
      </w:r>
      <w:r>
        <w:rPr>
          <w:rFonts w:hint="eastAsia" w:ascii="仿宋" w:hAnsi="仿宋" w:eastAsia="仿宋" w:cs="仿宋"/>
          <w:b w:val="0"/>
          <w:bCs w:val="0"/>
          <w:snapToGrid w:val="0"/>
          <w:spacing w:val="0"/>
          <w:kern w:val="0"/>
          <w:sz w:val="24"/>
          <w:szCs w:val="24"/>
          <w:lang w:val="en-US" w:eastAsia="zh-CN"/>
        </w:rPr>
        <w:t>与</w:t>
      </w:r>
      <w:r>
        <w:rPr>
          <w:rFonts w:hint="eastAsia" w:ascii="仿宋" w:hAnsi="仿宋" w:eastAsia="仿宋" w:cs="仿宋"/>
          <w:b w:val="0"/>
          <w:bCs w:val="0"/>
          <w:snapToGrid w:val="0"/>
          <w:spacing w:val="0"/>
          <w:kern w:val="0"/>
          <w:sz w:val="24"/>
          <w:szCs w:val="24"/>
          <w:lang w:eastAsia="zh-CN"/>
        </w:rPr>
        <w:t>工业互联网</w:t>
      </w:r>
      <w:r>
        <w:rPr>
          <w:rFonts w:hint="eastAsia" w:ascii="仿宋" w:hAnsi="仿宋" w:eastAsia="仿宋" w:cs="仿宋"/>
          <w:b w:val="0"/>
          <w:bCs w:val="0"/>
          <w:snapToGrid w:val="0"/>
          <w:spacing w:val="0"/>
          <w:kern w:val="0"/>
          <w:sz w:val="24"/>
          <w:szCs w:val="24"/>
        </w:rPr>
        <w:t>融合发展，</w:t>
      </w:r>
      <w:r>
        <w:rPr>
          <w:rFonts w:hint="eastAsia" w:ascii="仿宋" w:hAnsi="仿宋" w:eastAsia="仿宋" w:cs="仿宋"/>
          <w:b w:val="0"/>
          <w:bCs w:val="0"/>
          <w:snapToGrid w:val="0"/>
          <w:spacing w:val="0"/>
          <w:kern w:val="0"/>
          <w:sz w:val="24"/>
          <w:szCs w:val="24"/>
          <w:lang w:val="en-US" w:eastAsia="zh-CN"/>
        </w:rPr>
        <w:t>重点</w:t>
      </w:r>
      <w:r>
        <w:rPr>
          <w:rFonts w:hint="eastAsia" w:ascii="仿宋" w:hAnsi="仿宋" w:eastAsia="仿宋" w:cs="仿宋"/>
          <w:b w:val="0"/>
          <w:bCs w:val="0"/>
          <w:snapToGrid w:val="0"/>
          <w:spacing w:val="0"/>
          <w:kern w:val="0"/>
          <w:sz w:val="24"/>
          <w:szCs w:val="24"/>
        </w:rPr>
        <w:t>推进</w:t>
      </w:r>
      <w:r>
        <w:rPr>
          <w:rFonts w:hint="eastAsia" w:ascii="仿宋" w:hAnsi="仿宋" w:eastAsia="仿宋" w:cs="仿宋"/>
          <w:b w:val="0"/>
          <w:bCs w:val="0"/>
          <w:snapToGrid w:val="0"/>
          <w:spacing w:val="0"/>
          <w:kern w:val="0"/>
          <w:sz w:val="24"/>
          <w:szCs w:val="24"/>
          <w:lang w:val="en-US" w:eastAsia="zh-CN"/>
        </w:rPr>
        <w:t>智慧矿山、智慧园区、智慧车间、无人驾驶、智能制造等建设</w:t>
      </w:r>
      <w:r>
        <w:rPr>
          <w:rFonts w:hint="eastAsia" w:ascii="仿宋" w:hAnsi="仿宋" w:eastAsia="仿宋" w:cs="仿宋"/>
          <w:b w:val="0"/>
          <w:bCs w:val="0"/>
          <w:snapToGrid w:val="0"/>
          <w:spacing w:val="0"/>
          <w:kern w:val="0"/>
          <w:sz w:val="24"/>
          <w:szCs w:val="24"/>
          <w:lang w:eastAsia="zh-CN"/>
        </w:rPr>
        <w:t>，以数字政府建设为</w:t>
      </w:r>
      <w:r>
        <w:rPr>
          <w:rFonts w:hint="eastAsia" w:ascii="仿宋" w:hAnsi="仿宋" w:eastAsia="仿宋" w:cs="仿宋"/>
          <w:b w:val="0"/>
          <w:bCs w:val="0"/>
          <w:snapToGrid w:val="0"/>
          <w:spacing w:val="0"/>
          <w:kern w:val="0"/>
          <w:sz w:val="24"/>
          <w:szCs w:val="24"/>
          <w:lang w:val="en-US" w:eastAsia="zh-CN"/>
        </w:rPr>
        <w:t>中心</w:t>
      </w:r>
      <w:r>
        <w:rPr>
          <w:rFonts w:hint="eastAsia" w:ascii="仿宋" w:hAnsi="仿宋" w:eastAsia="仿宋" w:cs="仿宋"/>
          <w:b w:val="0"/>
          <w:bCs w:val="0"/>
          <w:snapToGrid w:val="0"/>
          <w:spacing w:val="0"/>
          <w:kern w:val="0"/>
          <w:sz w:val="24"/>
          <w:szCs w:val="24"/>
          <w:lang w:eastAsia="zh-CN"/>
        </w:rPr>
        <w:t>，</w:t>
      </w:r>
      <w:r>
        <w:rPr>
          <w:rFonts w:hint="eastAsia" w:ascii="仿宋" w:hAnsi="仿宋" w:eastAsia="仿宋" w:cs="仿宋"/>
          <w:b w:val="0"/>
          <w:bCs w:val="0"/>
          <w:snapToGrid w:val="0"/>
          <w:spacing w:val="0"/>
          <w:kern w:val="0"/>
          <w:sz w:val="24"/>
          <w:szCs w:val="24"/>
          <w:lang w:val="en-US" w:eastAsia="zh-CN"/>
        </w:rPr>
        <w:t>大力发展</w:t>
      </w:r>
      <w:r>
        <w:rPr>
          <w:rFonts w:hint="eastAsia" w:ascii="仿宋" w:hAnsi="仿宋" w:eastAsia="仿宋" w:cs="仿宋"/>
          <w:b w:val="0"/>
          <w:bCs w:val="0"/>
          <w:snapToGrid w:val="0"/>
          <w:spacing w:val="0"/>
          <w:kern w:val="0"/>
          <w:sz w:val="24"/>
          <w:szCs w:val="24"/>
          <w:lang w:eastAsia="zh-CN"/>
        </w:rPr>
        <w:t>智慧城市、智慧政务、智慧安全、智慧交通、智慧党建等。</w:t>
      </w:r>
      <w:r>
        <w:rPr>
          <w:rFonts w:hint="eastAsia" w:ascii="仿宋" w:hAnsi="仿宋" w:eastAsia="仿宋" w:cs="仿宋"/>
          <w:b w:val="0"/>
          <w:bCs w:val="0"/>
          <w:snapToGrid w:val="0"/>
          <w:spacing w:val="0"/>
          <w:kern w:val="0"/>
          <w:sz w:val="24"/>
          <w:szCs w:val="24"/>
          <w:lang w:val="en-US" w:eastAsia="zh-CN"/>
        </w:rPr>
        <w:t>到2025年，5G</w:t>
      </w:r>
      <w:r>
        <w:rPr>
          <w:rFonts w:hint="eastAsia" w:ascii="仿宋" w:hAnsi="仿宋" w:eastAsia="仿宋" w:cs="仿宋"/>
          <w:b w:val="0"/>
          <w:bCs w:val="0"/>
          <w:snapToGrid w:val="0"/>
          <w:spacing w:val="0"/>
          <w:kern w:val="0"/>
          <w:sz w:val="24"/>
          <w:szCs w:val="24"/>
          <w:lang w:eastAsia="zh-CN"/>
        </w:rPr>
        <w:t>技术</w:t>
      </w:r>
      <w:r>
        <w:rPr>
          <w:rFonts w:hint="eastAsia" w:ascii="仿宋" w:hAnsi="仿宋" w:eastAsia="仿宋" w:cs="仿宋"/>
          <w:b w:val="0"/>
          <w:bCs w:val="0"/>
          <w:snapToGrid w:val="0"/>
          <w:spacing w:val="0"/>
          <w:kern w:val="0"/>
          <w:sz w:val="24"/>
          <w:szCs w:val="24"/>
          <w:lang w:val="en-US" w:eastAsia="zh-CN"/>
        </w:rPr>
        <w:t>得到大范围、全方位应用；智慧矿山、智慧园区等初步建成，政府</w:t>
      </w:r>
      <w:r>
        <w:rPr>
          <w:rFonts w:hint="eastAsia" w:ascii="仿宋" w:hAnsi="仿宋" w:eastAsia="仿宋" w:cs="仿宋"/>
          <w:snapToGrid w:val="0"/>
          <w:spacing w:val="0"/>
          <w:kern w:val="0"/>
          <w:sz w:val="24"/>
          <w:szCs w:val="24"/>
        </w:rPr>
        <w:t>智能化治理体系</w:t>
      </w:r>
      <w:r>
        <w:rPr>
          <w:rFonts w:hint="eastAsia" w:ascii="仿宋" w:hAnsi="仿宋" w:eastAsia="仿宋" w:cs="仿宋"/>
          <w:snapToGrid w:val="0"/>
          <w:spacing w:val="0"/>
          <w:kern w:val="0"/>
          <w:sz w:val="24"/>
          <w:szCs w:val="24"/>
          <w:lang w:val="en-US" w:eastAsia="zh-CN"/>
        </w:rPr>
        <w:t>全部建成</w:t>
      </w:r>
      <w:r>
        <w:rPr>
          <w:rFonts w:hint="eastAsia" w:ascii="仿宋" w:hAnsi="仿宋" w:eastAsia="仿宋" w:cs="仿宋"/>
          <w:snapToGrid w:val="0"/>
          <w:spacing w:val="0"/>
          <w:kern w:val="0"/>
          <w:sz w:val="24"/>
          <w:szCs w:val="24"/>
          <w:lang w:eastAsia="zh-CN"/>
        </w:rPr>
        <w:t>，</w:t>
      </w:r>
      <w:r>
        <w:rPr>
          <w:rFonts w:hint="eastAsia" w:ascii="仿宋" w:hAnsi="仿宋" w:eastAsia="仿宋" w:cs="仿宋"/>
          <w:sz w:val="24"/>
          <w:szCs w:val="24"/>
          <w:lang w:val="en-US" w:eastAsia="zh-CN"/>
        </w:rPr>
        <w:t>城市管理治理水平大幅度提升。</w:t>
      </w:r>
    </w:p>
    <w:p w14:paraId="120091F5">
      <w:pPr>
        <w:pStyle w:val="24"/>
        <w:pageBreakBefore w:val="0"/>
        <w:kinsoku/>
        <w:wordWrap/>
        <w:overflowPunct/>
        <w:topLinePunct w:val="0"/>
        <w:autoSpaceDE/>
        <w:autoSpaceDN/>
        <w:bidi w:val="0"/>
        <w:spacing w:line="520" w:lineRule="exact"/>
        <w:textAlignment w:val="auto"/>
        <w:rPr>
          <w:ins w:id="0" w:author="鹿" w:date="2021-02-23T16:54:07Z"/>
          <w:rFonts w:hint="default" w:ascii="仿宋" w:hAnsi="仿宋" w:eastAsia="仿宋" w:cs="仿宋"/>
          <w:b w:val="0"/>
          <w:bCs w:val="0"/>
          <w:snapToGrid w:val="0"/>
          <w:spacing w:val="0"/>
          <w:kern w:val="0"/>
          <w:sz w:val="24"/>
          <w:szCs w:val="24"/>
          <w:lang w:val="en-US" w:eastAsia="zh-CN"/>
        </w:rPr>
      </w:pPr>
      <w:r>
        <w:rPr>
          <w:rFonts w:hint="eastAsia" w:ascii="仿宋" w:hAnsi="仿宋" w:eastAsia="仿宋" w:cs="仿宋"/>
          <w:b/>
          <w:snapToGrid w:val="0"/>
          <w:spacing w:val="0"/>
          <w:kern w:val="0"/>
          <w:sz w:val="24"/>
          <w:szCs w:val="24"/>
          <w:lang w:val="en-US" w:eastAsia="zh-CN"/>
        </w:rPr>
        <w:t>——基本建成幸福平安生活</w:t>
      </w:r>
      <w:r>
        <w:rPr>
          <w:rFonts w:hint="eastAsia" w:ascii="仿宋" w:hAnsi="仿宋" w:eastAsia="仿宋" w:cs="仿宋"/>
          <w:b/>
          <w:snapToGrid w:val="0"/>
          <w:spacing w:val="0"/>
          <w:kern w:val="0"/>
          <w:sz w:val="24"/>
          <w:szCs w:val="24"/>
          <w:lang w:eastAsia="zh-CN"/>
        </w:rPr>
        <w:t>城</w:t>
      </w:r>
      <w:r>
        <w:rPr>
          <w:rFonts w:hint="eastAsia" w:ascii="仿宋" w:hAnsi="仿宋" w:eastAsia="仿宋" w:cs="仿宋"/>
          <w:b/>
          <w:snapToGrid w:val="0"/>
          <w:spacing w:val="0"/>
          <w:kern w:val="0"/>
          <w:sz w:val="24"/>
          <w:szCs w:val="24"/>
          <w:lang w:val="en-US" w:eastAsia="zh-CN"/>
        </w:rPr>
        <w:t>区。</w:t>
      </w:r>
      <w:r>
        <w:rPr>
          <w:rFonts w:hint="eastAsia" w:ascii="仿宋" w:hAnsi="仿宋" w:eastAsia="仿宋" w:cs="仿宋"/>
          <w:snapToGrid w:val="0"/>
          <w:spacing w:val="0"/>
          <w:kern w:val="0"/>
          <w:sz w:val="24"/>
          <w:szCs w:val="24"/>
        </w:rPr>
        <w:t>社会事业</w:t>
      </w:r>
      <w:r>
        <w:rPr>
          <w:rFonts w:hint="eastAsia" w:ascii="仿宋" w:hAnsi="仿宋" w:eastAsia="仿宋" w:cs="仿宋"/>
          <w:snapToGrid w:val="0"/>
          <w:spacing w:val="0"/>
          <w:kern w:val="0"/>
          <w:sz w:val="24"/>
          <w:szCs w:val="24"/>
          <w:lang w:val="en-US" w:eastAsia="zh-CN"/>
        </w:rPr>
        <w:t>得到全面</w:t>
      </w:r>
      <w:r>
        <w:rPr>
          <w:rFonts w:hint="eastAsia" w:ascii="仿宋" w:hAnsi="仿宋" w:eastAsia="仿宋" w:cs="仿宋"/>
          <w:snapToGrid w:val="0"/>
          <w:spacing w:val="0"/>
          <w:kern w:val="0"/>
          <w:sz w:val="24"/>
          <w:szCs w:val="24"/>
        </w:rPr>
        <w:t>发展，居民收入</w:t>
      </w:r>
      <w:r>
        <w:rPr>
          <w:rFonts w:hint="eastAsia" w:ascii="仿宋" w:hAnsi="仿宋" w:eastAsia="仿宋" w:cs="仿宋"/>
          <w:snapToGrid w:val="0"/>
          <w:spacing w:val="0"/>
          <w:kern w:val="0"/>
          <w:sz w:val="24"/>
          <w:szCs w:val="24"/>
          <w:lang w:val="en-US" w:eastAsia="zh-CN"/>
        </w:rPr>
        <w:t>增长</w:t>
      </w:r>
      <w:r>
        <w:rPr>
          <w:rFonts w:hint="eastAsia" w:ascii="仿宋" w:hAnsi="仿宋" w:eastAsia="仿宋" w:cs="仿宋"/>
          <w:snapToGrid w:val="0"/>
          <w:spacing w:val="0"/>
          <w:kern w:val="0"/>
          <w:sz w:val="24"/>
          <w:szCs w:val="24"/>
        </w:rPr>
        <w:t>和经济</w:t>
      </w:r>
      <w:r>
        <w:rPr>
          <w:rFonts w:hint="eastAsia" w:ascii="仿宋" w:hAnsi="仿宋" w:eastAsia="仿宋" w:cs="仿宋"/>
          <w:snapToGrid w:val="0"/>
          <w:spacing w:val="0"/>
          <w:kern w:val="0"/>
          <w:sz w:val="24"/>
          <w:szCs w:val="24"/>
          <w:lang w:val="en-US" w:eastAsia="zh-CN"/>
        </w:rPr>
        <w:t>发展实现</w:t>
      </w:r>
      <w:r>
        <w:rPr>
          <w:rFonts w:hint="eastAsia" w:ascii="仿宋" w:hAnsi="仿宋" w:eastAsia="仿宋" w:cs="仿宋"/>
          <w:snapToGrid w:val="0"/>
          <w:spacing w:val="0"/>
          <w:kern w:val="0"/>
          <w:sz w:val="24"/>
          <w:szCs w:val="24"/>
        </w:rPr>
        <w:t>基本同步，</w:t>
      </w:r>
      <w:r>
        <w:rPr>
          <w:rFonts w:hint="eastAsia" w:ascii="仿宋" w:hAnsi="仿宋" w:eastAsia="仿宋" w:cs="仿宋"/>
          <w:snapToGrid w:val="0"/>
          <w:spacing w:val="0"/>
          <w:kern w:val="0"/>
          <w:sz w:val="24"/>
          <w:szCs w:val="24"/>
          <w:lang w:val="en-US" w:eastAsia="zh-CN"/>
        </w:rPr>
        <w:t>居民</w:t>
      </w:r>
      <w:r>
        <w:rPr>
          <w:rFonts w:hint="eastAsia" w:ascii="仿宋" w:hAnsi="仿宋" w:eastAsia="仿宋" w:cs="仿宋"/>
          <w:snapToGrid w:val="0"/>
          <w:spacing w:val="0"/>
          <w:kern w:val="0"/>
          <w:sz w:val="24"/>
          <w:szCs w:val="24"/>
        </w:rPr>
        <w:t>就业更加充分</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rPr>
        <w:t>更有质量，分配结构</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lang w:val="en-US" w:eastAsia="zh-CN"/>
        </w:rPr>
        <w:t>收入结构</w:t>
      </w:r>
      <w:r>
        <w:rPr>
          <w:rFonts w:hint="eastAsia" w:ascii="仿宋" w:hAnsi="仿宋" w:eastAsia="仿宋" w:cs="仿宋"/>
          <w:snapToGrid w:val="0"/>
          <w:spacing w:val="0"/>
          <w:kern w:val="0"/>
          <w:sz w:val="24"/>
          <w:szCs w:val="24"/>
        </w:rPr>
        <w:t>明显改善</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rPr>
        <w:t>社会保障全民覆盖，基本公共服务更加优质均衡</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rPr>
        <w:t>教育现代化水平明显提升，养老服务、</w:t>
      </w:r>
      <w:r>
        <w:rPr>
          <w:rFonts w:hint="eastAsia" w:ascii="仿宋" w:hAnsi="仿宋" w:eastAsia="仿宋" w:cs="仿宋"/>
          <w:snapToGrid w:val="0"/>
          <w:spacing w:val="0"/>
          <w:kern w:val="0"/>
          <w:sz w:val="24"/>
          <w:szCs w:val="24"/>
          <w:highlight w:val="none"/>
          <w:lang w:val="en-US" w:eastAsia="zh-CN"/>
        </w:rPr>
        <w:t>婴幼儿服务能力大幅提高</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rPr>
        <w:t>脱贫攻坚成果巩固拓展</w:t>
      </w:r>
      <w:r>
        <w:rPr>
          <w:rFonts w:hint="eastAsia" w:ascii="仿宋" w:hAnsi="仿宋" w:eastAsia="仿宋" w:cs="仿宋"/>
          <w:snapToGrid w:val="0"/>
          <w:spacing w:val="0"/>
          <w:kern w:val="0"/>
          <w:sz w:val="24"/>
          <w:szCs w:val="24"/>
          <w:highlight w:val="none"/>
          <w:lang w:eastAsia="zh-CN"/>
        </w:rPr>
        <w:t>，</w:t>
      </w:r>
      <w:r>
        <w:rPr>
          <w:rFonts w:hint="eastAsia" w:ascii="仿宋" w:hAnsi="仿宋" w:eastAsia="仿宋" w:cs="仿宋"/>
          <w:snapToGrid w:val="0"/>
          <w:spacing w:val="0"/>
          <w:kern w:val="0"/>
          <w:sz w:val="24"/>
          <w:szCs w:val="24"/>
          <w:highlight w:val="none"/>
          <w:lang w:val="en-US" w:eastAsia="zh-CN"/>
        </w:rPr>
        <w:t>低收入人口数量大幅减少；</w:t>
      </w:r>
      <w:r>
        <w:rPr>
          <w:rFonts w:hint="eastAsia" w:ascii="仿宋" w:hAnsi="仿宋" w:eastAsia="仿宋" w:cs="仿宋"/>
          <w:snapToGrid w:val="0"/>
          <w:spacing w:val="0"/>
          <w:kern w:val="0"/>
          <w:sz w:val="24"/>
          <w:szCs w:val="24"/>
        </w:rPr>
        <w:t>社会主义民主法治</w:t>
      </w:r>
      <w:r>
        <w:rPr>
          <w:rFonts w:hint="eastAsia" w:ascii="仿宋" w:hAnsi="仿宋" w:eastAsia="仿宋" w:cs="仿宋"/>
          <w:snapToGrid w:val="0"/>
          <w:spacing w:val="0"/>
          <w:kern w:val="0"/>
          <w:sz w:val="24"/>
          <w:szCs w:val="24"/>
          <w:lang w:val="en-US" w:eastAsia="zh-CN"/>
        </w:rPr>
        <w:t>更加</w:t>
      </w:r>
      <w:r>
        <w:rPr>
          <w:rFonts w:hint="eastAsia" w:ascii="仿宋" w:hAnsi="仿宋" w:eastAsia="仿宋" w:cs="仿宋"/>
          <w:snapToGrid w:val="0"/>
          <w:spacing w:val="0"/>
          <w:kern w:val="0"/>
          <w:sz w:val="24"/>
          <w:szCs w:val="24"/>
          <w:highlight w:val="none"/>
        </w:rPr>
        <w:t>健</w:t>
      </w:r>
      <w:r>
        <w:rPr>
          <w:rFonts w:hint="eastAsia" w:ascii="仿宋" w:hAnsi="仿宋" w:eastAsia="仿宋" w:cs="仿宋"/>
          <w:snapToGrid w:val="0"/>
          <w:spacing w:val="0"/>
          <w:kern w:val="0"/>
          <w:sz w:val="24"/>
          <w:szCs w:val="24"/>
        </w:rPr>
        <w:t>全，政府依法行政效率和公信力显著提升，平安白云、法治白云建设深入推进</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rPr>
        <w:t>城市发展安全保障更加有力，各民族大团结局面巩固发展，</w:t>
      </w:r>
      <w:r>
        <w:rPr>
          <w:rFonts w:hint="eastAsia" w:ascii="仿宋" w:hAnsi="仿宋" w:eastAsia="仿宋" w:cs="仿宋"/>
          <w:sz w:val="24"/>
          <w:szCs w:val="24"/>
          <w:lang w:val="en-US" w:eastAsia="zh-CN"/>
        </w:rPr>
        <w:t>铸牢中华民族共同体意识深入人心，</w:t>
      </w:r>
      <w:r>
        <w:rPr>
          <w:rFonts w:hint="eastAsia" w:ascii="仿宋" w:hAnsi="仿宋" w:eastAsia="仿宋" w:cs="仿宋"/>
          <w:snapToGrid w:val="0"/>
          <w:spacing w:val="0"/>
          <w:kern w:val="0"/>
          <w:sz w:val="24"/>
          <w:szCs w:val="24"/>
        </w:rPr>
        <w:t>人民群众获得感、幸福感、安全感不断提高，城市文明程度和城市品牌日益提升。</w:t>
      </w:r>
      <w:r>
        <w:rPr>
          <w:rFonts w:hint="eastAsia" w:ascii="仿宋" w:hAnsi="仿宋" w:eastAsia="仿宋" w:cs="仿宋"/>
          <w:snapToGrid w:val="0"/>
          <w:spacing w:val="0"/>
          <w:kern w:val="0"/>
          <w:sz w:val="24"/>
          <w:szCs w:val="24"/>
          <w:lang w:val="en-US" w:eastAsia="zh-CN"/>
        </w:rPr>
        <w:t>到2025年</w:t>
      </w:r>
      <w:r>
        <w:rPr>
          <w:rFonts w:hint="eastAsia" w:ascii="仿宋" w:hAnsi="仿宋" w:eastAsia="仿宋" w:cs="仿宋"/>
          <w:b w:val="0"/>
          <w:bCs w:val="0"/>
          <w:snapToGrid w:val="0"/>
          <w:spacing w:val="0"/>
          <w:kern w:val="0"/>
          <w:sz w:val="24"/>
          <w:szCs w:val="24"/>
          <w:lang w:val="en-US" w:eastAsia="zh-CN"/>
        </w:rPr>
        <w:t>，基本建成幸福平安生活</w:t>
      </w:r>
      <w:r>
        <w:rPr>
          <w:rFonts w:hint="eastAsia" w:ascii="仿宋" w:hAnsi="仿宋" w:eastAsia="仿宋" w:cs="仿宋"/>
          <w:b w:val="0"/>
          <w:bCs w:val="0"/>
          <w:snapToGrid w:val="0"/>
          <w:spacing w:val="0"/>
          <w:kern w:val="0"/>
          <w:sz w:val="24"/>
          <w:szCs w:val="24"/>
          <w:lang w:eastAsia="zh-CN"/>
        </w:rPr>
        <w:t>城</w:t>
      </w:r>
      <w:r>
        <w:rPr>
          <w:rFonts w:hint="eastAsia" w:ascii="仿宋" w:hAnsi="仿宋" w:eastAsia="仿宋" w:cs="仿宋"/>
          <w:b w:val="0"/>
          <w:bCs w:val="0"/>
          <w:snapToGrid w:val="0"/>
          <w:spacing w:val="0"/>
          <w:kern w:val="0"/>
          <w:sz w:val="24"/>
          <w:szCs w:val="24"/>
          <w:lang w:val="en-US" w:eastAsia="zh-CN"/>
        </w:rPr>
        <w:t>区。</w:t>
      </w:r>
    </w:p>
    <w:p w14:paraId="2741620A">
      <w:pPr>
        <w:pStyle w:val="24"/>
        <w:pageBreakBefore w:val="0"/>
        <w:kinsoku/>
        <w:wordWrap/>
        <w:overflowPunct/>
        <w:topLinePunct w:val="0"/>
        <w:autoSpaceDE/>
        <w:autoSpaceDN/>
        <w:bidi w:val="0"/>
        <w:spacing w:line="520" w:lineRule="exact"/>
        <w:textAlignment w:val="auto"/>
        <w:rPr>
          <w:ins w:id="1" w:author="鹿" w:date="2021-02-23T17:02:38Z"/>
          <w:rFonts w:hint="eastAsia" w:ascii="仿宋" w:hAnsi="仿宋" w:eastAsia="仿宋" w:cs="仿宋"/>
          <w:snapToGrid w:val="0"/>
          <w:spacing w:val="0"/>
          <w:kern w:val="0"/>
          <w:sz w:val="24"/>
          <w:szCs w:val="24"/>
          <w:lang w:val="en-US" w:eastAsia="zh-CN"/>
        </w:rPr>
      </w:pPr>
    </w:p>
    <w:p w14:paraId="4E74C912">
      <w:pPr>
        <w:pStyle w:val="24"/>
        <w:pageBreakBefore w:val="0"/>
        <w:kinsoku/>
        <w:wordWrap/>
        <w:overflowPunct/>
        <w:topLinePunct w:val="0"/>
        <w:autoSpaceDE/>
        <w:autoSpaceDN/>
        <w:bidi w:val="0"/>
        <w:spacing w:line="520" w:lineRule="exact"/>
        <w:textAlignment w:val="auto"/>
        <w:rPr>
          <w:rFonts w:hint="eastAsia" w:ascii="仿宋" w:hAnsi="仿宋" w:eastAsia="仿宋" w:cs="仿宋"/>
          <w:snapToGrid w:val="0"/>
          <w:spacing w:val="0"/>
          <w:kern w:val="0"/>
          <w:sz w:val="24"/>
          <w:szCs w:val="24"/>
          <w:lang w:val="en-US" w:eastAsia="zh-CN"/>
        </w:rPr>
      </w:pPr>
    </w:p>
    <w:p w14:paraId="50A66E4C">
      <w:pPr>
        <w:pStyle w:val="7"/>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29BB54BB">
      <w:pPr>
        <w:pStyle w:val="7"/>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51569B17">
      <w:pPr>
        <w:rPr>
          <w:rFonts w:hint="eastAsia" w:ascii="仿宋" w:hAnsi="仿宋" w:eastAsia="仿宋" w:cs="仿宋"/>
          <w:sz w:val="24"/>
          <w:szCs w:val="24"/>
        </w:rPr>
      </w:pPr>
    </w:p>
    <w:p w14:paraId="563BAF67">
      <w:pPr>
        <w:pStyle w:val="2"/>
        <w:outlineLvl w:val="9"/>
        <w:rPr>
          <w:rFonts w:hint="eastAsia" w:ascii="仿宋" w:hAnsi="仿宋" w:eastAsia="仿宋" w:cs="仿宋"/>
          <w:sz w:val="24"/>
          <w:szCs w:val="24"/>
        </w:rPr>
      </w:pPr>
    </w:p>
    <w:p w14:paraId="100E5483">
      <w:pPr>
        <w:rPr>
          <w:rFonts w:hint="eastAsia" w:ascii="仿宋" w:hAnsi="仿宋" w:eastAsia="仿宋" w:cs="仿宋"/>
          <w:sz w:val="24"/>
          <w:szCs w:val="24"/>
        </w:rPr>
      </w:pPr>
    </w:p>
    <w:p w14:paraId="2FED23B0">
      <w:pPr>
        <w:pStyle w:val="2"/>
        <w:outlineLvl w:val="9"/>
        <w:rPr>
          <w:rFonts w:hint="eastAsia"/>
        </w:rPr>
      </w:pPr>
    </w:p>
    <w:tbl>
      <w:tblPr>
        <w:tblStyle w:val="13"/>
        <w:tblpPr w:leftFromText="180" w:rightFromText="180" w:vertAnchor="text" w:horzAnchor="page" w:tblpX="1072" w:tblpY="1156"/>
        <w:tblOverlap w:val="never"/>
        <w:tblW w:w="6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2160"/>
        <w:gridCol w:w="885"/>
        <w:gridCol w:w="870"/>
        <w:gridCol w:w="795"/>
        <w:gridCol w:w="900"/>
        <w:gridCol w:w="780"/>
      </w:tblGrid>
      <w:tr w14:paraId="102E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95" w:type="dxa"/>
            <w:gridSpan w:val="7"/>
            <w:noWrap/>
            <w:vAlign w:val="center"/>
          </w:tcPr>
          <w:p w14:paraId="5B99BFC7">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sz w:val="24"/>
                <w:szCs w:val="24"/>
                <w:lang w:eastAsia="zh-CN"/>
              </w:rPr>
              <w:t>专栏</w:t>
            </w:r>
            <w:r>
              <w:rPr>
                <w:rFonts w:hint="eastAsia" w:ascii="仿宋" w:hAnsi="仿宋" w:eastAsia="仿宋" w:cs="仿宋"/>
                <w:b/>
                <w:sz w:val="24"/>
                <w:szCs w:val="24"/>
                <w:lang w:val="en-US" w:eastAsia="zh-CN"/>
              </w:rPr>
              <w:t xml:space="preserve">1 </w:t>
            </w:r>
            <w:r>
              <w:rPr>
                <w:rFonts w:hint="eastAsia" w:ascii="仿宋" w:hAnsi="仿宋" w:eastAsia="仿宋" w:cs="仿宋"/>
                <w:b/>
                <w:sz w:val="24"/>
                <w:szCs w:val="24"/>
              </w:rPr>
              <w:t>“十四五”时期经济社会主要指标</w:t>
            </w:r>
          </w:p>
        </w:tc>
      </w:tr>
      <w:tr w14:paraId="6109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405" w:type="dxa"/>
            <w:noWrap/>
            <w:vAlign w:val="center"/>
          </w:tcPr>
          <w:p w14:paraId="76F23876">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序号</w:t>
            </w:r>
          </w:p>
        </w:tc>
        <w:tc>
          <w:tcPr>
            <w:tcW w:w="2160" w:type="dxa"/>
            <w:noWrap/>
            <w:vAlign w:val="center"/>
          </w:tcPr>
          <w:p w14:paraId="1D0BDD08">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指 标</w:t>
            </w:r>
          </w:p>
        </w:tc>
        <w:tc>
          <w:tcPr>
            <w:tcW w:w="885" w:type="dxa"/>
            <w:noWrap/>
            <w:vAlign w:val="center"/>
          </w:tcPr>
          <w:p w14:paraId="00589F2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单 位</w:t>
            </w:r>
          </w:p>
        </w:tc>
        <w:tc>
          <w:tcPr>
            <w:tcW w:w="870" w:type="dxa"/>
            <w:noWrap/>
            <w:vAlign w:val="center"/>
          </w:tcPr>
          <w:p w14:paraId="0F59A887">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2020年</w:t>
            </w:r>
          </w:p>
        </w:tc>
        <w:tc>
          <w:tcPr>
            <w:tcW w:w="795" w:type="dxa"/>
            <w:noWrap/>
            <w:vAlign w:val="center"/>
          </w:tcPr>
          <w:p w14:paraId="58335C3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2025年</w:t>
            </w:r>
          </w:p>
        </w:tc>
        <w:tc>
          <w:tcPr>
            <w:tcW w:w="900" w:type="dxa"/>
            <w:noWrap/>
            <w:vAlign w:val="center"/>
          </w:tcPr>
          <w:p w14:paraId="103A883A">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年均</w:t>
            </w:r>
          </w:p>
          <w:p w14:paraId="7BEA94B8">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增长率</w:t>
            </w:r>
          </w:p>
        </w:tc>
        <w:tc>
          <w:tcPr>
            <w:tcW w:w="780" w:type="dxa"/>
            <w:noWrap/>
            <w:vAlign w:val="center"/>
          </w:tcPr>
          <w:p w14:paraId="7704E316">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属 性</w:t>
            </w:r>
          </w:p>
        </w:tc>
      </w:tr>
      <w:tr w14:paraId="6A8F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795" w:type="dxa"/>
            <w:gridSpan w:val="7"/>
            <w:noWrap/>
            <w:vAlign w:val="center"/>
          </w:tcPr>
          <w:p w14:paraId="376CB2AA">
            <w:pPr>
              <w:pageBreakBefore w:val="0"/>
              <w:kinsoku/>
              <w:wordWrap/>
              <w:overflowPunct/>
              <w:topLinePunct w:val="0"/>
              <w:autoSpaceDE/>
              <w:autoSpaceDN/>
              <w:bidi w:val="0"/>
              <w:spacing w:line="520" w:lineRule="exact"/>
              <w:textAlignment w:val="auto"/>
              <w:rPr>
                <w:rFonts w:hint="eastAsia" w:ascii="仿宋" w:hAnsi="仿宋" w:eastAsia="仿宋" w:cs="仿宋"/>
                <w:b/>
                <w:bCs/>
                <w:sz w:val="18"/>
                <w:szCs w:val="18"/>
              </w:rPr>
            </w:pPr>
            <w:r>
              <w:rPr>
                <w:rFonts w:hint="eastAsia" w:ascii="仿宋" w:hAnsi="仿宋" w:eastAsia="仿宋" w:cs="仿宋"/>
                <w:b/>
                <w:bCs/>
                <w:sz w:val="18"/>
                <w:szCs w:val="18"/>
              </w:rPr>
              <w:t>一、经济发展</w:t>
            </w:r>
          </w:p>
        </w:tc>
      </w:tr>
      <w:tr w14:paraId="5BA1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05" w:type="dxa"/>
            <w:noWrap/>
            <w:vAlign w:val="center"/>
          </w:tcPr>
          <w:p w14:paraId="183B6A4C">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 xml:space="preserve">1 </w:t>
            </w:r>
          </w:p>
        </w:tc>
        <w:tc>
          <w:tcPr>
            <w:tcW w:w="2160" w:type="dxa"/>
            <w:noWrap/>
            <w:vAlign w:val="center"/>
          </w:tcPr>
          <w:p w14:paraId="62A7CCB5">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地区生产总值增长率</w:t>
            </w:r>
          </w:p>
        </w:tc>
        <w:tc>
          <w:tcPr>
            <w:tcW w:w="885" w:type="dxa"/>
            <w:noWrap/>
            <w:vAlign w:val="center"/>
          </w:tcPr>
          <w:p w14:paraId="5A2B569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734A8281">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1.2</w:t>
            </w:r>
          </w:p>
        </w:tc>
        <w:tc>
          <w:tcPr>
            <w:tcW w:w="795" w:type="dxa"/>
            <w:noWrap/>
            <w:vAlign w:val="center"/>
          </w:tcPr>
          <w:p w14:paraId="7CCDDA8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08C1A7A7">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&gt;7</w:t>
            </w:r>
          </w:p>
        </w:tc>
        <w:tc>
          <w:tcPr>
            <w:tcW w:w="780" w:type="dxa"/>
            <w:noWrap/>
            <w:vAlign w:val="center"/>
          </w:tcPr>
          <w:p w14:paraId="16956EC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6994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43322032">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2</w:t>
            </w:r>
          </w:p>
        </w:tc>
        <w:tc>
          <w:tcPr>
            <w:tcW w:w="2160" w:type="dxa"/>
            <w:noWrap/>
            <w:vAlign w:val="center"/>
          </w:tcPr>
          <w:p w14:paraId="38165707">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全员劳动生产率</w:t>
            </w:r>
          </w:p>
        </w:tc>
        <w:tc>
          <w:tcPr>
            <w:tcW w:w="885" w:type="dxa"/>
            <w:noWrap/>
            <w:vAlign w:val="center"/>
          </w:tcPr>
          <w:p w14:paraId="79A6FDE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万元/人</w:t>
            </w:r>
          </w:p>
        </w:tc>
        <w:tc>
          <w:tcPr>
            <w:tcW w:w="870" w:type="dxa"/>
            <w:noWrap/>
            <w:vAlign w:val="center"/>
          </w:tcPr>
          <w:p w14:paraId="75BC55D1">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30.3</w:t>
            </w:r>
          </w:p>
        </w:tc>
        <w:tc>
          <w:tcPr>
            <w:tcW w:w="795" w:type="dxa"/>
            <w:noWrap/>
            <w:vAlign w:val="center"/>
          </w:tcPr>
          <w:p w14:paraId="4F7BA71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7B3A188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7左右</w:t>
            </w:r>
          </w:p>
        </w:tc>
        <w:tc>
          <w:tcPr>
            <w:tcW w:w="780" w:type="dxa"/>
            <w:noWrap/>
            <w:vAlign w:val="center"/>
          </w:tcPr>
          <w:p w14:paraId="4EB4C4F7">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3AC8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712804A0">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3</w:t>
            </w:r>
          </w:p>
        </w:tc>
        <w:tc>
          <w:tcPr>
            <w:tcW w:w="2160" w:type="dxa"/>
            <w:noWrap/>
            <w:vAlign w:val="center"/>
          </w:tcPr>
          <w:p w14:paraId="54962DB0">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常住人口城镇化率</w:t>
            </w:r>
          </w:p>
        </w:tc>
        <w:tc>
          <w:tcPr>
            <w:tcW w:w="885" w:type="dxa"/>
            <w:noWrap/>
            <w:vAlign w:val="center"/>
          </w:tcPr>
          <w:p w14:paraId="11C7D0B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4D83CE11">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59649BF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145BBB6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4E168429">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51D2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5" w:type="dxa"/>
            <w:gridSpan w:val="7"/>
            <w:noWrap/>
            <w:vAlign w:val="center"/>
          </w:tcPr>
          <w:p w14:paraId="5B56B7E4">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b/>
                <w:bCs/>
                <w:color w:val="0D0D0D"/>
                <w:sz w:val="18"/>
                <w:szCs w:val="18"/>
              </w:rPr>
              <w:t>二、创新驱动</w:t>
            </w:r>
          </w:p>
        </w:tc>
      </w:tr>
      <w:tr w14:paraId="1C89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7873320C">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4</w:t>
            </w:r>
          </w:p>
        </w:tc>
        <w:tc>
          <w:tcPr>
            <w:tcW w:w="2160" w:type="dxa"/>
            <w:noWrap/>
            <w:vAlign w:val="center"/>
          </w:tcPr>
          <w:p w14:paraId="043C60F7">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研发经费投入增长</w:t>
            </w:r>
          </w:p>
        </w:tc>
        <w:tc>
          <w:tcPr>
            <w:tcW w:w="885" w:type="dxa"/>
            <w:noWrap/>
            <w:vAlign w:val="center"/>
          </w:tcPr>
          <w:p w14:paraId="309235D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23F3F39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21B2652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442893E3">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&gt;7</w:t>
            </w:r>
          </w:p>
        </w:tc>
        <w:tc>
          <w:tcPr>
            <w:tcW w:w="780" w:type="dxa"/>
            <w:noWrap/>
            <w:vAlign w:val="center"/>
          </w:tcPr>
          <w:p w14:paraId="4D1AEFE6">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1CD5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3AFE6DDA">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5</w:t>
            </w:r>
          </w:p>
        </w:tc>
        <w:tc>
          <w:tcPr>
            <w:tcW w:w="2160" w:type="dxa"/>
            <w:noWrap/>
            <w:vAlign w:val="center"/>
          </w:tcPr>
          <w:p w14:paraId="1221AD36">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每万人拥有高价值发明专利数</w:t>
            </w:r>
          </w:p>
        </w:tc>
        <w:tc>
          <w:tcPr>
            <w:tcW w:w="885" w:type="dxa"/>
            <w:noWrap/>
            <w:vAlign w:val="center"/>
          </w:tcPr>
          <w:p w14:paraId="2068337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件</w:t>
            </w:r>
          </w:p>
        </w:tc>
        <w:tc>
          <w:tcPr>
            <w:tcW w:w="870" w:type="dxa"/>
            <w:noWrap/>
            <w:vAlign w:val="center"/>
          </w:tcPr>
          <w:p w14:paraId="797D43E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0D8DC3A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6F5F0EEB">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[0.87]</w:t>
            </w:r>
          </w:p>
        </w:tc>
        <w:tc>
          <w:tcPr>
            <w:tcW w:w="780" w:type="dxa"/>
            <w:noWrap/>
            <w:vAlign w:val="center"/>
          </w:tcPr>
          <w:p w14:paraId="5D1CB383">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7EB7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1E8904D1">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6</w:t>
            </w:r>
          </w:p>
        </w:tc>
        <w:tc>
          <w:tcPr>
            <w:tcW w:w="2160" w:type="dxa"/>
            <w:noWrap/>
            <w:vAlign w:val="center"/>
          </w:tcPr>
          <w:p w14:paraId="3E9DF382">
            <w:pPr>
              <w:pageBreakBefore w:val="0"/>
              <w:kinsoku/>
              <w:wordWrap/>
              <w:overflowPunct/>
              <w:topLinePunct w:val="0"/>
              <w:autoSpaceDE/>
              <w:autoSpaceDN/>
              <w:bidi w:val="0"/>
              <w:spacing w:line="520" w:lineRule="exac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数字经济核心产业增加值占地区生产总值的比重</w:t>
            </w:r>
          </w:p>
        </w:tc>
        <w:tc>
          <w:tcPr>
            <w:tcW w:w="885" w:type="dxa"/>
            <w:noWrap/>
            <w:vAlign w:val="center"/>
          </w:tcPr>
          <w:p w14:paraId="0FC0AB83">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4F50AB1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58FAF7E7">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1.0</w:t>
            </w:r>
          </w:p>
        </w:tc>
        <w:tc>
          <w:tcPr>
            <w:tcW w:w="900" w:type="dxa"/>
            <w:noWrap/>
            <w:vAlign w:val="center"/>
          </w:tcPr>
          <w:p w14:paraId="0C89872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5A97074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6731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95" w:type="dxa"/>
            <w:gridSpan w:val="7"/>
            <w:noWrap/>
            <w:vAlign w:val="center"/>
          </w:tcPr>
          <w:p w14:paraId="432B568C">
            <w:pPr>
              <w:pageBreakBefore w:val="0"/>
              <w:kinsoku/>
              <w:wordWrap/>
              <w:overflowPunct/>
              <w:topLinePunct w:val="0"/>
              <w:autoSpaceDE/>
              <w:autoSpaceDN/>
              <w:bidi w:val="0"/>
              <w:spacing w:line="520" w:lineRule="exact"/>
              <w:textAlignment w:val="auto"/>
              <w:rPr>
                <w:rFonts w:hint="eastAsia" w:ascii="仿宋" w:hAnsi="仿宋" w:eastAsia="仿宋" w:cs="仿宋"/>
                <w:color w:val="0D0D0D"/>
                <w:sz w:val="18"/>
                <w:szCs w:val="18"/>
              </w:rPr>
            </w:pPr>
            <w:r>
              <w:rPr>
                <w:rFonts w:hint="eastAsia" w:ascii="仿宋" w:hAnsi="仿宋" w:eastAsia="仿宋" w:cs="仿宋"/>
                <w:b/>
                <w:bCs/>
                <w:color w:val="0D0D0D"/>
                <w:sz w:val="18"/>
                <w:szCs w:val="18"/>
              </w:rPr>
              <w:t>三、民生福祉</w:t>
            </w:r>
          </w:p>
        </w:tc>
      </w:tr>
      <w:tr w14:paraId="3847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05" w:type="dxa"/>
            <w:noWrap/>
            <w:vAlign w:val="center"/>
          </w:tcPr>
          <w:p w14:paraId="5059321B">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7</w:t>
            </w:r>
          </w:p>
        </w:tc>
        <w:tc>
          <w:tcPr>
            <w:tcW w:w="2160" w:type="dxa"/>
            <w:noWrap/>
            <w:vAlign w:val="center"/>
          </w:tcPr>
          <w:p w14:paraId="4C5B9385">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居民人均可支配收入增长</w:t>
            </w:r>
          </w:p>
        </w:tc>
        <w:tc>
          <w:tcPr>
            <w:tcW w:w="885" w:type="dxa"/>
            <w:noWrap/>
            <w:vAlign w:val="center"/>
          </w:tcPr>
          <w:p w14:paraId="5648B6D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3FCB8E6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0.6</w:t>
            </w:r>
          </w:p>
        </w:tc>
        <w:tc>
          <w:tcPr>
            <w:tcW w:w="795" w:type="dxa"/>
            <w:noWrap/>
            <w:vAlign w:val="center"/>
          </w:tcPr>
          <w:p w14:paraId="5903C98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5D1B6B21">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7左右</w:t>
            </w:r>
          </w:p>
        </w:tc>
        <w:tc>
          <w:tcPr>
            <w:tcW w:w="780" w:type="dxa"/>
            <w:noWrap/>
            <w:vAlign w:val="center"/>
          </w:tcPr>
          <w:p w14:paraId="635E9F7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4954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 w:type="dxa"/>
            <w:noWrap/>
            <w:vAlign w:val="center"/>
          </w:tcPr>
          <w:p w14:paraId="1F986F9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8</w:t>
            </w:r>
          </w:p>
        </w:tc>
        <w:tc>
          <w:tcPr>
            <w:tcW w:w="2160" w:type="dxa"/>
            <w:noWrap/>
            <w:vAlign w:val="center"/>
          </w:tcPr>
          <w:p w14:paraId="152C7078">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城镇调查失业率</w:t>
            </w:r>
          </w:p>
        </w:tc>
        <w:tc>
          <w:tcPr>
            <w:tcW w:w="885" w:type="dxa"/>
            <w:noWrap/>
            <w:vAlign w:val="center"/>
          </w:tcPr>
          <w:p w14:paraId="342670E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64EE4213">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2D5CA85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195046AB">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&lt;5.5</w:t>
            </w:r>
          </w:p>
        </w:tc>
        <w:tc>
          <w:tcPr>
            <w:tcW w:w="780" w:type="dxa"/>
            <w:noWrap/>
            <w:vAlign w:val="center"/>
          </w:tcPr>
          <w:p w14:paraId="0933113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0175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40191A06">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9</w:t>
            </w:r>
          </w:p>
        </w:tc>
        <w:tc>
          <w:tcPr>
            <w:tcW w:w="2160" w:type="dxa"/>
            <w:noWrap/>
            <w:vAlign w:val="center"/>
          </w:tcPr>
          <w:p w14:paraId="14628525">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劳动年龄人口平均受教育年限</w:t>
            </w:r>
          </w:p>
        </w:tc>
        <w:tc>
          <w:tcPr>
            <w:tcW w:w="885" w:type="dxa"/>
            <w:noWrap/>
            <w:vAlign w:val="center"/>
          </w:tcPr>
          <w:p w14:paraId="6B3A6C19">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年</w:t>
            </w:r>
          </w:p>
        </w:tc>
        <w:tc>
          <w:tcPr>
            <w:tcW w:w="870" w:type="dxa"/>
            <w:noWrap/>
            <w:vAlign w:val="center"/>
          </w:tcPr>
          <w:p w14:paraId="03648C16">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5F59040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z w:val="18"/>
                <w:szCs w:val="18"/>
              </w:rPr>
              <w:t>13</w:t>
            </w:r>
          </w:p>
        </w:tc>
        <w:tc>
          <w:tcPr>
            <w:tcW w:w="900" w:type="dxa"/>
            <w:noWrap/>
            <w:vAlign w:val="center"/>
          </w:tcPr>
          <w:p w14:paraId="69226A8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639CA85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3E11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5D2429E5">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10</w:t>
            </w:r>
          </w:p>
        </w:tc>
        <w:tc>
          <w:tcPr>
            <w:tcW w:w="2160" w:type="dxa"/>
            <w:noWrap/>
            <w:vAlign w:val="center"/>
          </w:tcPr>
          <w:p w14:paraId="2FAAC420">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每千人拥有执业（助理）医师数</w:t>
            </w:r>
          </w:p>
        </w:tc>
        <w:tc>
          <w:tcPr>
            <w:tcW w:w="885" w:type="dxa"/>
            <w:noWrap/>
            <w:vAlign w:val="center"/>
          </w:tcPr>
          <w:p w14:paraId="7CF00356">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人</w:t>
            </w:r>
          </w:p>
        </w:tc>
        <w:tc>
          <w:tcPr>
            <w:tcW w:w="870" w:type="dxa"/>
            <w:noWrap/>
            <w:vAlign w:val="center"/>
          </w:tcPr>
          <w:p w14:paraId="2C5B2B6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2.14</w:t>
            </w:r>
          </w:p>
        </w:tc>
        <w:tc>
          <w:tcPr>
            <w:tcW w:w="795" w:type="dxa"/>
            <w:noWrap/>
            <w:vAlign w:val="center"/>
          </w:tcPr>
          <w:p w14:paraId="64DED6F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00000"/>
                <w:spacing w:val="-20"/>
                <w:sz w:val="18"/>
                <w:szCs w:val="18"/>
              </w:rPr>
            </w:pPr>
            <w:r>
              <w:rPr>
                <w:rFonts w:hint="eastAsia" w:ascii="仿宋" w:hAnsi="仿宋" w:eastAsia="仿宋" w:cs="仿宋"/>
                <w:color w:val="000000"/>
                <w:spacing w:val="-20"/>
                <w:sz w:val="18"/>
                <w:szCs w:val="18"/>
              </w:rPr>
              <w:t>2.34</w:t>
            </w:r>
          </w:p>
        </w:tc>
        <w:tc>
          <w:tcPr>
            <w:tcW w:w="900" w:type="dxa"/>
            <w:noWrap/>
            <w:vAlign w:val="center"/>
          </w:tcPr>
          <w:p w14:paraId="2A31EFC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80" w:type="dxa"/>
            <w:noWrap/>
            <w:vAlign w:val="center"/>
          </w:tcPr>
          <w:p w14:paraId="64E4017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约束性</w:t>
            </w:r>
          </w:p>
        </w:tc>
      </w:tr>
      <w:tr w14:paraId="2423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75D06668">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11</w:t>
            </w:r>
          </w:p>
        </w:tc>
        <w:tc>
          <w:tcPr>
            <w:tcW w:w="2160" w:type="dxa"/>
            <w:noWrap/>
            <w:vAlign w:val="center"/>
          </w:tcPr>
          <w:p w14:paraId="29BFA637">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基本养老保险参保数</w:t>
            </w:r>
          </w:p>
        </w:tc>
        <w:tc>
          <w:tcPr>
            <w:tcW w:w="885" w:type="dxa"/>
            <w:noWrap/>
            <w:vAlign w:val="center"/>
          </w:tcPr>
          <w:p w14:paraId="042DA1C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7758C7B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99.7</w:t>
            </w:r>
          </w:p>
        </w:tc>
        <w:tc>
          <w:tcPr>
            <w:tcW w:w="795" w:type="dxa"/>
            <w:noWrap/>
            <w:vAlign w:val="center"/>
          </w:tcPr>
          <w:p w14:paraId="3504DC2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100</w:t>
            </w:r>
          </w:p>
        </w:tc>
        <w:tc>
          <w:tcPr>
            <w:tcW w:w="900" w:type="dxa"/>
            <w:noWrap/>
            <w:vAlign w:val="center"/>
          </w:tcPr>
          <w:p w14:paraId="29E0C97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68430CF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63C8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7BC1FCE0">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12</w:t>
            </w:r>
          </w:p>
        </w:tc>
        <w:tc>
          <w:tcPr>
            <w:tcW w:w="2160" w:type="dxa"/>
            <w:noWrap/>
            <w:vAlign w:val="center"/>
          </w:tcPr>
          <w:p w14:paraId="405890AD">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每千人拥有三岁以下婴幼儿托位数</w:t>
            </w:r>
          </w:p>
        </w:tc>
        <w:tc>
          <w:tcPr>
            <w:tcW w:w="885" w:type="dxa"/>
            <w:noWrap/>
            <w:vAlign w:val="center"/>
          </w:tcPr>
          <w:p w14:paraId="50F2404B">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个</w:t>
            </w:r>
          </w:p>
        </w:tc>
        <w:tc>
          <w:tcPr>
            <w:tcW w:w="870" w:type="dxa"/>
            <w:noWrap/>
            <w:vAlign w:val="center"/>
          </w:tcPr>
          <w:p w14:paraId="713A95E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3C1BC14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1.35</w:t>
            </w:r>
          </w:p>
        </w:tc>
        <w:tc>
          <w:tcPr>
            <w:tcW w:w="900" w:type="dxa"/>
            <w:noWrap/>
            <w:vAlign w:val="center"/>
          </w:tcPr>
          <w:p w14:paraId="3AEA51A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0B74336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43FE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4BC680F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13</w:t>
            </w:r>
          </w:p>
        </w:tc>
        <w:tc>
          <w:tcPr>
            <w:tcW w:w="2160" w:type="dxa"/>
            <w:noWrap/>
            <w:vAlign w:val="center"/>
          </w:tcPr>
          <w:p w14:paraId="67E8F380">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人均预期寿命</w:t>
            </w:r>
          </w:p>
        </w:tc>
        <w:tc>
          <w:tcPr>
            <w:tcW w:w="885" w:type="dxa"/>
            <w:noWrap/>
            <w:vAlign w:val="center"/>
          </w:tcPr>
          <w:p w14:paraId="092D871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岁</w:t>
            </w:r>
          </w:p>
        </w:tc>
        <w:tc>
          <w:tcPr>
            <w:tcW w:w="870" w:type="dxa"/>
            <w:noWrap/>
            <w:vAlign w:val="center"/>
          </w:tcPr>
          <w:p w14:paraId="1BE40B1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79.3</w:t>
            </w:r>
          </w:p>
        </w:tc>
        <w:tc>
          <w:tcPr>
            <w:tcW w:w="795" w:type="dxa"/>
            <w:noWrap/>
            <w:vAlign w:val="center"/>
          </w:tcPr>
          <w:p w14:paraId="0AC92DB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80</w:t>
            </w:r>
          </w:p>
        </w:tc>
        <w:tc>
          <w:tcPr>
            <w:tcW w:w="900" w:type="dxa"/>
            <w:noWrap/>
            <w:vAlign w:val="center"/>
          </w:tcPr>
          <w:p w14:paraId="4081EB4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3CF2401B">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0170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5" w:type="dxa"/>
            <w:gridSpan w:val="7"/>
            <w:noWrap/>
            <w:vAlign w:val="center"/>
          </w:tcPr>
          <w:p w14:paraId="0981225F">
            <w:pPr>
              <w:pageBreakBefore w:val="0"/>
              <w:kinsoku/>
              <w:wordWrap/>
              <w:overflowPunct/>
              <w:topLinePunct w:val="0"/>
              <w:autoSpaceDE/>
              <w:autoSpaceDN/>
              <w:bidi w:val="0"/>
              <w:spacing w:line="520" w:lineRule="exact"/>
              <w:textAlignment w:val="auto"/>
              <w:rPr>
                <w:rFonts w:hint="eastAsia" w:ascii="仿宋" w:hAnsi="仿宋" w:eastAsia="仿宋" w:cs="仿宋"/>
                <w:b/>
                <w:bCs/>
                <w:sz w:val="18"/>
                <w:szCs w:val="18"/>
              </w:rPr>
            </w:pPr>
            <w:r>
              <w:rPr>
                <w:rFonts w:hint="eastAsia" w:ascii="仿宋" w:hAnsi="仿宋" w:eastAsia="仿宋" w:cs="仿宋"/>
                <w:b/>
                <w:bCs/>
                <w:sz w:val="18"/>
                <w:szCs w:val="18"/>
              </w:rPr>
              <w:t>四、绿色生态</w:t>
            </w:r>
          </w:p>
        </w:tc>
      </w:tr>
      <w:tr w14:paraId="5407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05" w:type="dxa"/>
            <w:noWrap/>
            <w:vAlign w:val="center"/>
          </w:tcPr>
          <w:p w14:paraId="062BDA95">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14</w:t>
            </w:r>
          </w:p>
        </w:tc>
        <w:tc>
          <w:tcPr>
            <w:tcW w:w="2160" w:type="dxa"/>
            <w:noWrap/>
            <w:vAlign w:val="center"/>
          </w:tcPr>
          <w:p w14:paraId="23932BD4">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单位地区生产总值能源消耗降幅</w:t>
            </w:r>
          </w:p>
        </w:tc>
        <w:tc>
          <w:tcPr>
            <w:tcW w:w="885" w:type="dxa"/>
            <w:noWrap/>
            <w:vAlign w:val="center"/>
          </w:tcPr>
          <w:p w14:paraId="7937D1B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152EFB9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[-9.3]</w:t>
            </w:r>
          </w:p>
        </w:tc>
        <w:tc>
          <w:tcPr>
            <w:tcW w:w="795" w:type="dxa"/>
            <w:noWrap/>
            <w:vAlign w:val="center"/>
          </w:tcPr>
          <w:p w14:paraId="2D65FE7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w:t>
            </w:r>
          </w:p>
        </w:tc>
        <w:tc>
          <w:tcPr>
            <w:tcW w:w="900" w:type="dxa"/>
            <w:noWrap/>
            <w:vAlign w:val="center"/>
          </w:tcPr>
          <w:p w14:paraId="198ED67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达到包头市要求</w:t>
            </w:r>
          </w:p>
        </w:tc>
        <w:tc>
          <w:tcPr>
            <w:tcW w:w="780" w:type="dxa"/>
            <w:noWrap/>
            <w:vAlign w:val="center"/>
          </w:tcPr>
          <w:p w14:paraId="2C03671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2E5D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54CF332F">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15</w:t>
            </w:r>
          </w:p>
        </w:tc>
        <w:tc>
          <w:tcPr>
            <w:tcW w:w="2160" w:type="dxa"/>
            <w:noWrap/>
            <w:vAlign w:val="center"/>
          </w:tcPr>
          <w:p w14:paraId="2E9A302E">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单位地区生产总值二氧化碳排放降幅</w:t>
            </w:r>
          </w:p>
        </w:tc>
        <w:tc>
          <w:tcPr>
            <w:tcW w:w="885" w:type="dxa"/>
            <w:noWrap/>
            <w:vAlign w:val="center"/>
          </w:tcPr>
          <w:p w14:paraId="31E0F12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64CCCA8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283A831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z w:val="18"/>
                <w:szCs w:val="18"/>
              </w:rPr>
              <w:t>—</w:t>
            </w:r>
          </w:p>
        </w:tc>
        <w:tc>
          <w:tcPr>
            <w:tcW w:w="900" w:type="dxa"/>
            <w:noWrap/>
            <w:vAlign w:val="center"/>
          </w:tcPr>
          <w:p w14:paraId="0CF544F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达到包头市要求</w:t>
            </w:r>
          </w:p>
        </w:tc>
        <w:tc>
          <w:tcPr>
            <w:tcW w:w="780" w:type="dxa"/>
            <w:noWrap/>
            <w:vAlign w:val="center"/>
          </w:tcPr>
          <w:p w14:paraId="205588B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0856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645A530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16</w:t>
            </w:r>
          </w:p>
        </w:tc>
        <w:tc>
          <w:tcPr>
            <w:tcW w:w="2160" w:type="dxa"/>
            <w:noWrap/>
            <w:vAlign w:val="center"/>
          </w:tcPr>
          <w:p w14:paraId="64C61260">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空气质量优良天数占比</w:t>
            </w:r>
          </w:p>
        </w:tc>
        <w:tc>
          <w:tcPr>
            <w:tcW w:w="885" w:type="dxa"/>
            <w:noWrap/>
            <w:vAlign w:val="center"/>
          </w:tcPr>
          <w:p w14:paraId="77D6BAF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6AB01853">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93.6</w:t>
            </w:r>
          </w:p>
        </w:tc>
        <w:tc>
          <w:tcPr>
            <w:tcW w:w="795" w:type="dxa"/>
            <w:noWrap/>
            <w:vAlign w:val="center"/>
          </w:tcPr>
          <w:p w14:paraId="6787D90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w:t>
            </w:r>
          </w:p>
        </w:tc>
        <w:tc>
          <w:tcPr>
            <w:tcW w:w="900" w:type="dxa"/>
            <w:noWrap/>
            <w:vAlign w:val="center"/>
          </w:tcPr>
          <w:p w14:paraId="1878E081">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达到包头市要求</w:t>
            </w:r>
          </w:p>
        </w:tc>
        <w:tc>
          <w:tcPr>
            <w:tcW w:w="780" w:type="dxa"/>
            <w:noWrap/>
            <w:vAlign w:val="center"/>
          </w:tcPr>
          <w:p w14:paraId="713E32F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721F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13FABB05">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17</w:t>
            </w:r>
          </w:p>
        </w:tc>
        <w:tc>
          <w:tcPr>
            <w:tcW w:w="2160" w:type="dxa"/>
            <w:noWrap/>
            <w:vAlign w:val="center"/>
          </w:tcPr>
          <w:p w14:paraId="0E84B724">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达到或好于三类水体占地表水比例</w:t>
            </w:r>
          </w:p>
        </w:tc>
        <w:tc>
          <w:tcPr>
            <w:tcW w:w="885" w:type="dxa"/>
            <w:noWrap/>
            <w:vAlign w:val="center"/>
          </w:tcPr>
          <w:p w14:paraId="5FAC72A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50FDCFC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28520ED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z w:val="18"/>
                <w:szCs w:val="18"/>
              </w:rPr>
              <w:t>—</w:t>
            </w:r>
          </w:p>
        </w:tc>
        <w:tc>
          <w:tcPr>
            <w:tcW w:w="900" w:type="dxa"/>
            <w:noWrap/>
            <w:vAlign w:val="center"/>
          </w:tcPr>
          <w:p w14:paraId="3F5DA25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达到包头市下达要求</w:t>
            </w:r>
          </w:p>
        </w:tc>
        <w:tc>
          <w:tcPr>
            <w:tcW w:w="780" w:type="dxa"/>
            <w:noWrap/>
            <w:vAlign w:val="center"/>
          </w:tcPr>
          <w:p w14:paraId="1AF675C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7AF1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35B95BE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18</w:t>
            </w:r>
          </w:p>
        </w:tc>
        <w:tc>
          <w:tcPr>
            <w:tcW w:w="2160" w:type="dxa"/>
            <w:noWrap/>
            <w:vAlign w:val="center"/>
          </w:tcPr>
          <w:p w14:paraId="746EB2C5">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森林覆盖率</w:t>
            </w:r>
          </w:p>
        </w:tc>
        <w:tc>
          <w:tcPr>
            <w:tcW w:w="885" w:type="dxa"/>
            <w:noWrap/>
            <w:vAlign w:val="center"/>
          </w:tcPr>
          <w:p w14:paraId="4CFC0FC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02F9018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pacing w:val="-20"/>
                <w:sz w:val="18"/>
                <w:szCs w:val="18"/>
              </w:rPr>
              <w:t>－</w:t>
            </w:r>
          </w:p>
        </w:tc>
        <w:tc>
          <w:tcPr>
            <w:tcW w:w="795" w:type="dxa"/>
            <w:noWrap/>
            <w:vAlign w:val="center"/>
          </w:tcPr>
          <w:p w14:paraId="0DA8ECA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w:t>
            </w:r>
          </w:p>
        </w:tc>
        <w:tc>
          <w:tcPr>
            <w:tcW w:w="900" w:type="dxa"/>
            <w:noWrap/>
            <w:vAlign w:val="center"/>
          </w:tcPr>
          <w:p w14:paraId="43A09B2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pacing w:val="-20"/>
                <w:sz w:val="18"/>
                <w:szCs w:val="18"/>
              </w:rPr>
              <w:t>－</w:t>
            </w:r>
          </w:p>
        </w:tc>
        <w:tc>
          <w:tcPr>
            <w:tcW w:w="780" w:type="dxa"/>
            <w:noWrap/>
            <w:vAlign w:val="center"/>
          </w:tcPr>
          <w:p w14:paraId="5B029B2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4CE7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95" w:type="dxa"/>
            <w:gridSpan w:val="7"/>
            <w:noWrap/>
            <w:vAlign w:val="center"/>
          </w:tcPr>
          <w:p w14:paraId="5955CCBB">
            <w:pPr>
              <w:pageBreakBefore w:val="0"/>
              <w:kinsoku/>
              <w:wordWrap/>
              <w:overflowPunct/>
              <w:topLinePunct w:val="0"/>
              <w:autoSpaceDE/>
              <w:autoSpaceDN/>
              <w:bidi w:val="0"/>
              <w:spacing w:line="520" w:lineRule="exact"/>
              <w:textAlignment w:val="auto"/>
              <w:rPr>
                <w:rFonts w:hint="eastAsia" w:ascii="仿宋" w:hAnsi="仿宋" w:eastAsia="仿宋" w:cs="仿宋"/>
                <w:color w:val="0D0D0D"/>
                <w:sz w:val="18"/>
                <w:szCs w:val="18"/>
              </w:rPr>
            </w:pPr>
            <w:r>
              <w:rPr>
                <w:rFonts w:hint="eastAsia" w:ascii="仿宋" w:hAnsi="仿宋" w:eastAsia="仿宋" w:cs="仿宋"/>
                <w:b/>
                <w:bCs/>
                <w:color w:val="0D0D0D"/>
                <w:sz w:val="18"/>
                <w:szCs w:val="18"/>
              </w:rPr>
              <w:t>四、安全保障</w:t>
            </w:r>
          </w:p>
        </w:tc>
      </w:tr>
      <w:tr w14:paraId="27FE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4D6851C1">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19</w:t>
            </w:r>
          </w:p>
        </w:tc>
        <w:tc>
          <w:tcPr>
            <w:tcW w:w="2160" w:type="dxa"/>
            <w:noWrap/>
            <w:vAlign w:val="center"/>
          </w:tcPr>
          <w:p w14:paraId="580743F6">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粮食综合生产能力</w:t>
            </w:r>
          </w:p>
        </w:tc>
        <w:tc>
          <w:tcPr>
            <w:tcW w:w="885" w:type="dxa"/>
            <w:noWrap/>
            <w:vAlign w:val="center"/>
          </w:tcPr>
          <w:p w14:paraId="310395A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亿斤</w:t>
            </w:r>
          </w:p>
        </w:tc>
        <w:tc>
          <w:tcPr>
            <w:tcW w:w="870" w:type="dxa"/>
            <w:noWrap/>
            <w:vAlign w:val="center"/>
          </w:tcPr>
          <w:p w14:paraId="33EE1DE9">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pacing w:val="-20"/>
                <w:sz w:val="18"/>
                <w:szCs w:val="18"/>
              </w:rPr>
              <w:t>－</w:t>
            </w:r>
          </w:p>
        </w:tc>
        <w:tc>
          <w:tcPr>
            <w:tcW w:w="795" w:type="dxa"/>
            <w:noWrap/>
            <w:vAlign w:val="center"/>
          </w:tcPr>
          <w:p w14:paraId="6F392EA9">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pacing w:val="-20"/>
                <w:sz w:val="18"/>
                <w:szCs w:val="18"/>
              </w:rPr>
              <w:t>－</w:t>
            </w:r>
          </w:p>
        </w:tc>
        <w:tc>
          <w:tcPr>
            <w:tcW w:w="900" w:type="dxa"/>
            <w:noWrap/>
            <w:vAlign w:val="center"/>
          </w:tcPr>
          <w:p w14:paraId="445B9BA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668E839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70D3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6BD9CA8A">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20</w:t>
            </w:r>
          </w:p>
        </w:tc>
        <w:tc>
          <w:tcPr>
            <w:tcW w:w="2160" w:type="dxa"/>
            <w:noWrap/>
            <w:vAlign w:val="center"/>
          </w:tcPr>
          <w:p w14:paraId="50BB3C36">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能源综合生产能力</w:t>
            </w:r>
          </w:p>
        </w:tc>
        <w:tc>
          <w:tcPr>
            <w:tcW w:w="885" w:type="dxa"/>
            <w:noWrap/>
            <w:vAlign w:val="center"/>
          </w:tcPr>
          <w:p w14:paraId="78246DC6">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万吨标煤</w:t>
            </w:r>
          </w:p>
        </w:tc>
        <w:tc>
          <w:tcPr>
            <w:tcW w:w="870" w:type="dxa"/>
            <w:noWrap/>
            <w:vAlign w:val="center"/>
          </w:tcPr>
          <w:p w14:paraId="6F19074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25.56</w:t>
            </w:r>
          </w:p>
        </w:tc>
        <w:tc>
          <w:tcPr>
            <w:tcW w:w="795" w:type="dxa"/>
            <w:noWrap/>
            <w:vAlign w:val="center"/>
          </w:tcPr>
          <w:p w14:paraId="498C614B">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26.8</w:t>
            </w:r>
          </w:p>
        </w:tc>
        <w:tc>
          <w:tcPr>
            <w:tcW w:w="900" w:type="dxa"/>
            <w:noWrap/>
            <w:vAlign w:val="center"/>
          </w:tcPr>
          <w:p w14:paraId="292784C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19E1BFC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1B9F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795" w:type="dxa"/>
            <w:gridSpan w:val="7"/>
            <w:noWrap/>
            <w:vAlign w:val="center"/>
          </w:tcPr>
          <w:p w14:paraId="6B94934C">
            <w:pPr>
              <w:pageBreakBefore w:val="0"/>
              <w:kinsoku/>
              <w:wordWrap/>
              <w:overflowPunct/>
              <w:topLinePunct w:val="0"/>
              <w:autoSpaceDE/>
              <w:autoSpaceDN/>
              <w:bidi w:val="0"/>
              <w:spacing w:line="520" w:lineRule="exac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注：1、地区生产总值增长率、全员劳动生产率按可比价计算。2、[]内为5年累计数。3、能源综合生产能力指煤炭、石油、天然气、非化石能源生产能力之和。4、单位地区生产总值二氧化碳排放降幅为“十三五”前四年降幅。</w:t>
            </w:r>
          </w:p>
        </w:tc>
      </w:tr>
    </w:tbl>
    <w:p w14:paraId="6FEA39C5">
      <w:pPr>
        <w:pStyle w:val="7"/>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510570D9">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90" w:name="_Toc18925"/>
      <w:bookmarkStart w:id="91" w:name="_Toc3461"/>
      <w:bookmarkStart w:id="92" w:name="_Toc6552"/>
      <w:r>
        <w:rPr>
          <w:rFonts w:hint="eastAsia" w:ascii="Cambria" w:hAnsi="Cambria" w:eastAsia="方正黑体简体" w:cs="Times New Roman"/>
          <w:b w:val="0"/>
          <w:bCs/>
          <w:kern w:val="0"/>
          <w:sz w:val="28"/>
          <w:szCs w:val="32"/>
          <w:lang w:val="en-US" w:eastAsia="zh-CN" w:bidi="ar-SA"/>
        </w:rPr>
        <w:t>第三章 坚持创新驱动发展战略 全面提升创新发展能力</w:t>
      </w:r>
      <w:bookmarkEnd w:id="90"/>
      <w:bookmarkEnd w:id="91"/>
      <w:bookmarkEnd w:id="92"/>
    </w:p>
    <w:p w14:paraId="553B9688">
      <w:pPr>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3A87A565">
      <w:pPr>
        <w:keepNext w:val="0"/>
        <w:keepLines w:val="0"/>
        <w:pageBreakBefore w:val="0"/>
        <w:widowControl w:val="0"/>
        <w:kinsoku/>
        <w:wordWrap/>
        <w:overflowPunct/>
        <w:topLinePunct w:val="0"/>
        <w:autoSpaceDE/>
        <w:autoSpaceDN/>
        <w:bidi w:val="0"/>
        <w:adjustRightInd/>
        <w:snapToGrid/>
        <w:spacing w:line="520" w:lineRule="exact"/>
        <w:ind w:left="0" w:right="0" w:firstLine="601"/>
        <w:jc w:val="both"/>
        <w:textAlignment w:val="auto"/>
        <w:outlineLvl w:val="9"/>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深入落实科技强国战略，完善科技创新体系，扩大开放合作领域，提升科技创新能力。抓住自治区“科技兴蒙”行动新机遇，瞄准国内外科技创新前沿，补短板，强弱项，全面提升自主创新能力，力争在相关产业科技研发领域中做出较大贡献，在关键核心技术领域取得新的突破。</w:t>
      </w:r>
    </w:p>
    <w:p w14:paraId="448CEE20">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93" w:name="_Toc25130"/>
      <w:bookmarkStart w:id="94" w:name="_Toc11684"/>
      <w:bookmarkStart w:id="95" w:name="_Toc6502"/>
      <w:bookmarkStart w:id="96" w:name="_Toc17174"/>
      <w:r>
        <w:rPr>
          <w:rFonts w:hint="eastAsia" w:ascii="宋体" w:hAnsi="宋体" w:eastAsia="宋体" w:cs="宋体"/>
          <w:sz w:val="28"/>
          <w:szCs w:val="28"/>
          <w:lang w:val="en-US" w:eastAsia="zh-CN"/>
        </w:rPr>
        <w:t>第一节 构建</w:t>
      </w:r>
      <w:r>
        <w:rPr>
          <w:rFonts w:hint="eastAsia" w:ascii="宋体" w:hAnsi="宋体" w:eastAsia="宋体" w:cs="宋体"/>
          <w:sz w:val="28"/>
          <w:szCs w:val="28"/>
        </w:rPr>
        <w:t>创新驱动</w:t>
      </w:r>
      <w:r>
        <w:rPr>
          <w:rFonts w:hint="eastAsia" w:ascii="宋体" w:hAnsi="宋体" w:eastAsia="宋体" w:cs="宋体"/>
          <w:sz w:val="28"/>
          <w:szCs w:val="28"/>
          <w:lang w:val="en-US" w:eastAsia="zh-CN"/>
        </w:rPr>
        <w:t>新模式</w:t>
      </w:r>
      <w:bookmarkEnd w:id="93"/>
      <w:bookmarkEnd w:id="94"/>
      <w:bookmarkEnd w:id="95"/>
    </w:p>
    <w:p w14:paraId="5771BE0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rPr>
      </w:pPr>
      <w:r>
        <w:rPr>
          <w:rFonts w:hint="eastAsia" w:ascii="仿宋" w:hAnsi="仿宋" w:eastAsia="仿宋" w:cs="仿宋"/>
          <w:sz w:val="24"/>
          <w:szCs w:val="24"/>
          <w:lang w:val="en-US" w:eastAsia="zh-CN"/>
        </w:rPr>
        <w:t>全面</w:t>
      </w:r>
      <w:r>
        <w:rPr>
          <w:rFonts w:hint="eastAsia" w:ascii="仿宋" w:hAnsi="仿宋" w:eastAsia="仿宋" w:cs="仿宋"/>
          <w:sz w:val="24"/>
          <w:szCs w:val="24"/>
        </w:rPr>
        <w:t>落实</w:t>
      </w:r>
      <w:r>
        <w:rPr>
          <w:rFonts w:hint="eastAsia" w:ascii="仿宋" w:hAnsi="仿宋" w:eastAsia="仿宋" w:cs="仿宋"/>
          <w:sz w:val="24"/>
          <w:szCs w:val="24"/>
          <w:lang w:val="en-US" w:eastAsia="zh-CN"/>
        </w:rPr>
        <w:t>自治区</w:t>
      </w:r>
      <w:r>
        <w:rPr>
          <w:rFonts w:hint="eastAsia" w:ascii="仿宋" w:hAnsi="仿宋" w:eastAsia="仿宋" w:cs="仿宋"/>
          <w:sz w:val="24"/>
          <w:szCs w:val="24"/>
        </w:rPr>
        <w:t>“科技兴蒙”行动，</w:t>
      </w:r>
      <w:r>
        <w:rPr>
          <w:rFonts w:hint="eastAsia" w:ascii="仿宋" w:hAnsi="仿宋" w:eastAsia="仿宋" w:cs="仿宋"/>
          <w:sz w:val="24"/>
          <w:szCs w:val="24"/>
          <w:lang w:val="en-US" w:eastAsia="zh-CN"/>
        </w:rPr>
        <w:t>根据白云矿区产业发展特点，务实</w:t>
      </w:r>
      <w:r>
        <w:rPr>
          <w:rFonts w:hint="eastAsia" w:ascii="仿宋" w:hAnsi="仿宋" w:eastAsia="仿宋" w:cs="仿宋"/>
          <w:sz w:val="24"/>
          <w:szCs w:val="24"/>
        </w:rPr>
        <w:t>打造全链条式</w:t>
      </w:r>
      <w:r>
        <w:rPr>
          <w:rFonts w:hint="eastAsia" w:ascii="仿宋" w:hAnsi="仿宋" w:eastAsia="仿宋" w:cs="仿宋"/>
          <w:sz w:val="24"/>
          <w:szCs w:val="24"/>
          <w:lang w:val="en-US" w:eastAsia="zh-CN"/>
        </w:rPr>
        <w:t>技术</w:t>
      </w:r>
      <w:r>
        <w:rPr>
          <w:rFonts w:hint="eastAsia" w:ascii="仿宋" w:hAnsi="仿宋" w:eastAsia="仿宋" w:cs="仿宋"/>
          <w:sz w:val="24"/>
          <w:szCs w:val="24"/>
        </w:rPr>
        <w:t>创新体系。</w:t>
      </w:r>
      <w:r>
        <w:rPr>
          <w:rFonts w:hint="eastAsia" w:ascii="仿宋" w:hAnsi="仿宋" w:eastAsia="仿宋" w:cs="仿宋"/>
          <w:sz w:val="24"/>
          <w:szCs w:val="24"/>
          <w:lang w:val="en-US" w:eastAsia="zh-CN"/>
        </w:rPr>
        <w:t>围绕稀土矿综合开发、尾矿资源综合利用需求，</w:t>
      </w:r>
      <w:r>
        <w:rPr>
          <w:rFonts w:hint="eastAsia" w:ascii="仿宋" w:hAnsi="仿宋" w:eastAsia="仿宋" w:cs="仿宋"/>
          <w:sz w:val="24"/>
          <w:szCs w:val="24"/>
        </w:rPr>
        <w:t>以</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外引内联、</w:t>
      </w:r>
      <w:r>
        <w:rPr>
          <w:rFonts w:hint="eastAsia" w:ascii="仿宋" w:hAnsi="仿宋" w:eastAsia="仿宋" w:cs="仿宋"/>
          <w:sz w:val="24"/>
          <w:szCs w:val="24"/>
        </w:rPr>
        <w:t>内外联动</w:t>
      </w:r>
      <w:r>
        <w:rPr>
          <w:rFonts w:hint="eastAsia" w:ascii="仿宋" w:hAnsi="仿宋" w:eastAsia="仿宋" w:cs="仿宋"/>
          <w:sz w:val="24"/>
          <w:szCs w:val="24"/>
          <w:lang w:eastAsia="zh-CN"/>
        </w:rPr>
        <w:t>”</w:t>
      </w:r>
      <w:r>
        <w:rPr>
          <w:rFonts w:hint="eastAsia" w:ascii="仿宋" w:hAnsi="仿宋" w:eastAsia="仿宋" w:cs="仿宋"/>
          <w:sz w:val="24"/>
          <w:szCs w:val="24"/>
        </w:rPr>
        <w:t>为基本</w:t>
      </w:r>
      <w:r>
        <w:rPr>
          <w:rFonts w:hint="eastAsia" w:ascii="仿宋" w:hAnsi="仿宋" w:eastAsia="仿宋" w:cs="仿宋"/>
          <w:sz w:val="24"/>
          <w:szCs w:val="24"/>
          <w:lang w:val="en-US" w:eastAsia="zh-CN"/>
        </w:rPr>
        <w:t>思路</w:t>
      </w:r>
      <w:r>
        <w:rPr>
          <w:rFonts w:hint="eastAsia" w:ascii="仿宋" w:hAnsi="仿宋" w:eastAsia="仿宋" w:cs="仿宋"/>
          <w:sz w:val="24"/>
          <w:szCs w:val="24"/>
        </w:rPr>
        <w:t>，</w:t>
      </w:r>
      <w:r>
        <w:rPr>
          <w:rFonts w:hint="eastAsia" w:ascii="仿宋" w:hAnsi="仿宋" w:eastAsia="仿宋" w:cs="仿宋"/>
          <w:sz w:val="24"/>
          <w:szCs w:val="24"/>
          <w:lang w:val="en-US" w:eastAsia="zh-CN"/>
        </w:rPr>
        <w:t>建立技术创新新体制</w:t>
      </w:r>
      <w:r>
        <w:rPr>
          <w:rFonts w:hint="eastAsia" w:ascii="仿宋" w:hAnsi="仿宋" w:eastAsia="仿宋" w:cs="仿宋"/>
          <w:sz w:val="24"/>
          <w:szCs w:val="24"/>
          <w:lang w:eastAsia="zh-CN"/>
        </w:rPr>
        <w:t>。</w:t>
      </w:r>
      <w:r>
        <w:rPr>
          <w:rFonts w:hint="eastAsia" w:ascii="仿宋" w:hAnsi="仿宋" w:eastAsia="仿宋" w:cs="仿宋"/>
          <w:color w:val="auto"/>
          <w:sz w:val="24"/>
          <w:szCs w:val="24"/>
          <w:lang w:val="en-US" w:eastAsia="zh-CN"/>
        </w:rPr>
        <w:t>加强</w:t>
      </w:r>
      <w:r>
        <w:rPr>
          <w:rFonts w:hint="eastAsia" w:ascii="仿宋" w:hAnsi="仿宋" w:eastAsia="仿宋" w:cs="仿宋"/>
          <w:color w:val="auto"/>
          <w:sz w:val="24"/>
          <w:szCs w:val="24"/>
        </w:rPr>
        <w:t>与</w:t>
      </w:r>
      <w:r>
        <w:rPr>
          <w:rFonts w:hint="eastAsia" w:ascii="仿宋" w:hAnsi="仿宋" w:eastAsia="仿宋" w:cs="仿宋"/>
          <w:color w:val="auto"/>
          <w:sz w:val="24"/>
          <w:szCs w:val="24"/>
          <w:lang w:eastAsia="zh-CN"/>
        </w:rPr>
        <w:t>内蒙古科技大学、</w:t>
      </w:r>
      <w:r>
        <w:rPr>
          <w:rFonts w:hint="eastAsia" w:ascii="仿宋" w:hAnsi="仿宋" w:eastAsia="仿宋" w:cs="仿宋"/>
          <w:color w:val="auto"/>
          <w:sz w:val="24"/>
          <w:szCs w:val="24"/>
        </w:rPr>
        <w:t>中国地质</w:t>
      </w:r>
      <w:r>
        <w:rPr>
          <w:rFonts w:hint="eastAsia" w:ascii="仿宋" w:hAnsi="仿宋" w:eastAsia="仿宋" w:cs="仿宋"/>
          <w:color w:val="auto"/>
          <w:sz w:val="24"/>
          <w:szCs w:val="24"/>
          <w:lang w:eastAsia="zh-CN"/>
        </w:rPr>
        <w:t>科学院矿产资源</w:t>
      </w:r>
      <w:r>
        <w:rPr>
          <w:rFonts w:hint="eastAsia" w:ascii="仿宋" w:hAnsi="仿宋" w:eastAsia="仿宋" w:cs="仿宋"/>
          <w:color w:val="auto"/>
          <w:sz w:val="24"/>
          <w:szCs w:val="24"/>
        </w:rPr>
        <w:t>研究所</w:t>
      </w:r>
      <w:r>
        <w:rPr>
          <w:rFonts w:hint="eastAsia" w:ascii="仿宋" w:hAnsi="仿宋" w:eastAsia="仿宋" w:cs="仿宋"/>
          <w:color w:val="auto"/>
          <w:sz w:val="24"/>
          <w:szCs w:val="24"/>
          <w:lang w:eastAsia="zh-CN"/>
        </w:rPr>
        <w:t>、包头稀土研究院、</w:t>
      </w:r>
      <w:r>
        <w:rPr>
          <w:rFonts w:hint="eastAsia" w:ascii="仿宋" w:hAnsi="仿宋" w:eastAsia="仿宋" w:cs="仿宋"/>
          <w:color w:val="auto"/>
          <w:sz w:val="24"/>
          <w:szCs w:val="24"/>
        </w:rPr>
        <w:t>包</w:t>
      </w:r>
      <w:r>
        <w:rPr>
          <w:rFonts w:hint="eastAsia" w:ascii="仿宋" w:hAnsi="仿宋" w:eastAsia="仿宋" w:cs="仿宋"/>
          <w:color w:val="auto"/>
          <w:sz w:val="24"/>
          <w:szCs w:val="24"/>
          <w:lang w:eastAsia="zh-CN"/>
        </w:rPr>
        <w:t>钢集团</w:t>
      </w:r>
      <w:r>
        <w:rPr>
          <w:rFonts w:hint="eastAsia" w:ascii="仿宋" w:hAnsi="仿宋" w:eastAsia="仿宋" w:cs="仿宋"/>
          <w:color w:val="auto"/>
          <w:sz w:val="24"/>
          <w:szCs w:val="24"/>
        </w:rPr>
        <w:t>矿</w:t>
      </w:r>
      <w:r>
        <w:rPr>
          <w:rFonts w:hint="eastAsia" w:ascii="仿宋" w:hAnsi="仿宋" w:eastAsia="仿宋" w:cs="仿宋"/>
          <w:color w:val="auto"/>
          <w:sz w:val="24"/>
          <w:szCs w:val="24"/>
          <w:lang w:eastAsia="zh-CN"/>
        </w:rPr>
        <w:t>山</w:t>
      </w:r>
      <w:r>
        <w:rPr>
          <w:rFonts w:hint="eastAsia" w:ascii="仿宋" w:hAnsi="仿宋" w:eastAsia="仿宋" w:cs="仿宋"/>
          <w:color w:val="auto"/>
          <w:sz w:val="24"/>
          <w:szCs w:val="24"/>
        </w:rPr>
        <w:t>研</w:t>
      </w:r>
      <w:r>
        <w:rPr>
          <w:rFonts w:hint="eastAsia" w:ascii="仿宋" w:hAnsi="仿宋" w:eastAsia="仿宋" w:cs="仿宋"/>
          <w:color w:val="auto"/>
          <w:sz w:val="24"/>
          <w:szCs w:val="24"/>
          <w:lang w:eastAsia="zh-CN"/>
        </w:rPr>
        <w:t>究</w:t>
      </w:r>
      <w:r>
        <w:rPr>
          <w:rFonts w:hint="eastAsia" w:ascii="仿宋" w:hAnsi="仿宋" w:eastAsia="仿宋" w:cs="仿宋"/>
          <w:color w:val="auto"/>
          <w:sz w:val="24"/>
          <w:szCs w:val="24"/>
        </w:rPr>
        <w:t>院等</w:t>
      </w:r>
      <w:r>
        <w:rPr>
          <w:rFonts w:hint="eastAsia" w:ascii="仿宋" w:hAnsi="仿宋" w:eastAsia="仿宋" w:cs="仿宋"/>
          <w:color w:val="auto"/>
          <w:sz w:val="24"/>
          <w:szCs w:val="24"/>
          <w:lang w:val="en-US" w:eastAsia="zh-CN"/>
        </w:rPr>
        <w:t>技术创新合作</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lang w:val="en-US" w:eastAsia="zh-CN" w:bidi="ar"/>
        </w:rPr>
        <w:t>吸引重点科研团队、领军人才，</w:t>
      </w:r>
      <w:r>
        <w:rPr>
          <w:rFonts w:hint="eastAsia" w:ascii="仿宋" w:hAnsi="仿宋" w:eastAsia="仿宋" w:cs="仿宋"/>
          <w:sz w:val="24"/>
          <w:szCs w:val="24"/>
          <w:lang w:val="en-US" w:eastAsia="zh-CN"/>
        </w:rPr>
        <w:t>整合各类科技资源及人才优势，</w:t>
      </w:r>
      <w:r>
        <w:rPr>
          <w:rFonts w:hint="eastAsia" w:ascii="仿宋" w:hAnsi="仿宋" w:eastAsia="仿宋" w:cs="仿宋"/>
          <w:snapToGrid w:val="0"/>
          <w:color w:val="000000" w:themeColor="text1"/>
          <w:spacing w:val="0"/>
          <w:kern w:val="0"/>
          <w:sz w:val="24"/>
          <w:szCs w:val="24"/>
          <w:lang w:val="en-US" w:eastAsia="zh-CN"/>
          <w14:textFill>
            <w14:solidFill>
              <w14:schemeClr w14:val="tx1"/>
            </w14:solidFill>
          </w14:textFill>
        </w:rPr>
        <w:t>分步</w:t>
      </w:r>
      <w:r>
        <w:rPr>
          <w:rFonts w:hint="eastAsia" w:ascii="仿宋" w:hAnsi="仿宋" w:eastAsia="仿宋" w:cs="仿宋"/>
          <w:snapToGrid w:val="0"/>
          <w:spacing w:val="0"/>
          <w:kern w:val="0"/>
          <w:sz w:val="24"/>
          <w:szCs w:val="24"/>
          <w:lang w:val="en-US" w:eastAsia="zh-CN"/>
        </w:rPr>
        <w:t>建设白云鄂博科教产融合园区，</w:t>
      </w:r>
      <w:r>
        <w:rPr>
          <w:rFonts w:hint="eastAsia" w:ascii="仿宋" w:hAnsi="仿宋" w:eastAsia="仿宋" w:cs="仿宋"/>
          <w:sz w:val="24"/>
          <w:szCs w:val="24"/>
          <w:lang w:val="en-US" w:eastAsia="zh-CN"/>
        </w:rPr>
        <w:t>创建研究中心、重点实验室；针对稀土、铌、钪、萤石等前端、后续产业发展趋势，设立稀土材料及相关新兴产业发展研究中心、技术推广应用转化服务中心，推动科研成果就地转化，</w:t>
      </w:r>
      <w:r>
        <w:rPr>
          <w:rFonts w:hint="eastAsia" w:ascii="仿宋" w:hAnsi="仿宋" w:eastAsia="仿宋" w:cs="仿宋"/>
          <w:snapToGrid w:val="0"/>
          <w:spacing w:val="0"/>
          <w:kern w:val="0"/>
          <w:sz w:val="24"/>
          <w:szCs w:val="24"/>
          <w:lang w:val="en-US" w:eastAsia="zh-CN"/>
        </w:rPr>
        <w:t>解决“卡脖子”技术难题，</w:t>
      </w:r>
      <w:r>
        <w:rPr>
          <w:rFonts w:hint="eastAsia" w:ascii="仿宋" w:hAnsi="仿宋" w:eastAsia="仿宋" w:cs="仿宋"/>
          <w:sz w:val="24"/>
          <w:szCs w:val="24"/>
        </w:rPr>
        <w:t>统筹区内外科技创新资源，促进创新链</w:t>
      </w:r>
      <w:r>
        <w:rPr>
          <w:rFonts w:hint="eastAsia" w:ascii="仿宋" w:hAnsi="仿宋" w:eastAsia="仿宋" w:cs="仿宋"/>
          <w:sz w:val="24"/>
          <w:szCs w:val="24"/>
          <w:lang w:eastAsia="zh-CN"/>
        </w:rPr>
        <w:t>、</w:t>
      </w:r>
      <w:r>
        <w:rPr>
          <w:rFonts w:hint="eastAsia" w:ascii="仿宋" w:hAnsi="仿宋" w:eastAsia="仿宋" w:cs="仿宋"/>
          <w:sz w:val="24"/>
          <w:szCs w:val="24"/>
        </w:rPr>
        <w:t>产业链</w:t>
      </w:r>
      <w:r>
        <w:rPr>
          <w:rFonts w:hint="eastAsia" w:ascii="仿宋" w:hAnsi="仿宋" w:eastAsia="仿宋" w:cs="仿宋"/>
          <w:sz w:val="24"/>
          <w:szCs w:val="24"/>
          <w:lang w:eastAsia="zh-CN"/>
        </w:rPr>
        <w:t>、</w:t>
      </w:r>
      <w:r>
        <w:rPr>
          <w:rFonts w:hint="eastAsia" w:ascii="仿宋" w:hAnsi="仿宋" w:eastAsia="仿宋" w:cs="仿宋"/>
          <w:sz w:val="24"/>
          <w:szCs w:val="24"/>
        </w:rPr>
        <w:t>人才链</w:t>
      </w:r>
      <w:r>
        <w:rPr>
          <w:rFonts w:hint="eastAsia" w:ascii="仿宋" w:hAnsi="仿宋" w:eastAsia="仿宋" w:cs="仿宋"/>
          <w:sz w:val="24"/>
          <w:szCs w:val="24"/>
          <w:lang w:eastAsia="zh-CN"/>
        </w:rPr>
        <w:t>、</w:t>
      </w:r>
      <w:r>
        <w:rPr>
          <w:rFonts w:hint="eastAsia" w:ascii="仿宋" w:hAnsi="仿宋" w:eastAsia="仿宋" w:cs="仿宋"/>
          <w:sz w:val="24"/>
          <w:szCs w:val="24"/>
        </w:rPr>
        <w:t>政策链</w:t>
      </w:r>
      <w:r>
        <w:rPr>
          <w:rFonts w:hint="eastAsia" w:ascii="仿宋" w:hAnsi="仿宋" w:eastAsia="仿宋" w:cs="仿宋"/>
          <w:sz w:val="24"/>
          <w:szCs w:val="24"/>
          <w:lang w:eastAsia="zh-CN"/>
        </w:rPr>
        <w:t>、</w:t>
      </w:r>
      <w:r>
        <w:rPr>
          <w:rFonts w:hint="eastAsia" w:ascii="仿宋" w:hAnsi="仿宋" w:eastAsia="仿宋" w:cs="仿宋"/>
          <w:sz w:val="24"/>
          <w:szCs w:val="24"/>
        </w:rPr>
        <w:t>资金</w:t>
      </w:r>
      <w:r>
        <w:rPr>
          <w:rFonts w:hint="eastAsia" w:ascii="仿宋" w:hAnsi="仿宋" w:eastAsia="仿宋" w:cs="仿宋"/>
          <w:sz w:val="24"/>
          <w:szCs w:val="24"/>
          <w:lang w:val="en-US" w:eastAsia="zh-CN"/>
        </w:rPr>
        <w:t>链深度融合。构建产</w:t>
      </w:r>
      <w:r>
        <w:rPr>
          <w:rFonts w:hint="eastAsia" w:ascii="仿宋" w:hAnsi="仿宋" w:eastAsia="仿宋" w:cs="仿宋"/>
          <w:color w:val="auto"/>
          <w:sz w:val="24"/>
          <w:szCs w:val="24"/>
          <w:lang w:val="en-US" w:eastAsia="zh-CN"/>
        </w:rPr>
        <w:t>品创新、品牌创新和生产经营模式创新，</w:t>
      </w:r>
      <w:r>
        <w:rPr>
          <w:rFonts w:hint="eastAsia" w:ascii="仿宋" w:hAnsi="仿宋" w:eastAsia="仿宋" w:cs="仿宋"/>
          <w:snapToGrid w:val="0"/>
          <w:color w:val="auto"/>
          <w:spacing w:val="0"/>
          <w:kern w:val="0"/>
          <w:sz w:val="24"/>
          <w:szCs w:val="24"/>
          <w:lang w:val="en-US" w:eastAsia="zh-CN"/>
        </w:rPr>
        <w:t>促进新产品、新技术、新模式、新业态发展，依靠科技创新提升传统产业竞争力，做强战略性新兴产业。</w:t>
      </w:r>
    </w:p>
    <w:p w14:paraId="1E12D0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加大对企业技术创新的扶持力度，鼓励企业增加科研经费投入，提升科技研发能力，引导企业</w:t>
      </w:r>
      <w:r>
        <w:rPr>
          <w:rFonts w:hint="eastAsia" w:ascii="仿宋" w:hAnsi="仿宋" w:eastAsia="仿宋" w:cs="仿宋"/>
          <w:snapToGrid w:val="0"/>
          <w:spacing w:val="0"/>
          <w:kern w:val="0"/>
          <w:sz w:val="24"/>
          <w:szCs w:val="24"/>
          <w:lang w:val="en-US" w:eastAsia="zh-CN"/>
        </w:rPr>
        <w:t>利用闲置土地、车间厂房创建科技孵化器和众创空间；</w:t>
      </w:r>
      <w:r>
        <w:rPr>
          <w:rFonts w:hint="eastAsia" w:ascii="仿宋" w:hAnsi="仿宋" w:eastAsia="仿宋" w:cs="仿宋"/>
          <w:sz w:val="24"/>
          <w:szCs w:val="24"/>
          <w:lang w:val="en-US" w:eastAsia="zh-CN"/>
        </w:rPr>
        <w:t>积极培育发展科技型中小企业，构建开放共享互动的创新网络，激发中小企业创新活力，引导小微企业走“专、精、特、新”发展道路。</w:t>
      </w:r>
      <w:r>
        <w:rPr>
          <w:rFonts w:hint="eastAsia" w:ascii="仿宋" w:hAnsi="仿宋" w:eastAsia="仿宋" w:cs="仿宋"/>
          <w:sz w:val="24"/>
          <w:szCs w:val="24"/>
        </w:rPr>
        <w:t>到2025年，</w:t>
      </w:r>
      <w:r>
        <w:rPr>
          <w:rFonts w:hint="eastAsia" w:ascii="仿宋" w:hAnsi="仿宋" w:eastAsia="仿宋" w:cs="仿宋"/>
          <w:sz w:val="24"/>
          <w:szCs w:val="24"/>
          <w:lang w:val="en-US" w:eastAsia="zh-CN"/>
        </w:rPr>
        <w:t>建成包头市科技成果转移转化示范区、中试公共服务平台示范基地。</w:t>
      </w:r>
      <w:r>
        <w:rPr>
          <w:rFonts w:hint="eastAsia" w:ascii="仿宋" w:hAnsi="仿宋" w:eastAsia="仿宋" w:cs="仿宋"/>
          <w:sz w:val="24"/>
          <w:szCs w:val="24"/>
        </w:rPr>
        <w:t>全社会研究与试验发展经费支出占地区生产总值比重达到</w:t>
      </w:r>
      <w:r>
        <w:rPr>
          <w:rFonts w:hint="eastAsia" w:ascii="仿宋" w:hAnsi="仿宋" w:eastAsia="仿宋" w:cs="仿宋"/>
          <w:sz w:val="24"/>
          <w:szCs w:val="24"/>
          <w:lang w:val="en-US" w:eastAsia="zh-CN"/>
        </w:rPr>
        <w:t>1.2</w:t>
      </w:r>
      <w:r>
        <w:rPr>
          <w:rFonts w:hint="eastAsia" w:ascii="仿宋" w:hAnsi="仿宋" w:eastAsia="仿宋" w:cs="仿宋"/>
          <w:sz w:val="24"/>
          <w:szCs w:val="24"/>
        </w:rPr>
        <w:t>%</w:t>
      </w:r>
      <w:r>
        <w:rPr>
          <w:rFonts w:hint="eastAsia" w:ascii="仿宋" w:hAnsi="仿宋" w:eastAsia="仿宋" w:cs="仿宋"/>
          <w:sz w:val="24"/>
          <w:szCs w:val="24"/>
          <w:lang w:val="en-US" w:eastAsia="zh-CN"/>
        </w:rPr>
        <w:t>以上</w:t>
      </w:r>
      <w:r>
        <w:rPr>
          <w:rFonts w:hint="eastAsia" w:ascii="仿宋" w:hAnsi="仿宋" w:eastAsia="仿宋" w:cs="仿宋"/>
          <w:sz w:val="24"/>
          <w:szCs w:val="24"/>
        </w:rPr>
        <w:t>。</w:t>
      </w:r>
    </w:p>
    <w:tbl>
      <w:tblPr>
        <w:tblStyle w:val="13"/>
        <w:tblpPr w:leftFromText="180" w:rightFromText="180" w:vertAnchor="text" w:horzAnchor="page" w:tblpX="1492" w:tblpY="119"/>
        <w:tblOverlap w:val="never"/>
        <w:tblW w:w="5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5"/>
      </w:tblGrid>
      <w:tr w14:paraId="0A2A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5595" w:type="dxa"/>
            <w:tcBorders>
              <w:top w:val="single" w:color="auto" w:sz="4" w:space="0"/>
              <w:left w:val="single" w:color="auto" w:sz="4" w:space="0"/>
              <w:bottom w:val="single" w:color="auto" w:sz="4" w:space="0"/>
              <w:right w:val="single" w:color="auto" w:sz="4" w:space="0"/>
            </w:tcBorders>
            <w:noWrap/>
          </w:tcPr>
          <w:p w14:paraId="2B909EB9">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专栏2  构建创新驱动模式</w:t>
            </w:r>
          </w:p>
          <w:p w14:paraId="3EB33C9E">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白云鄂博矿资源综合利用技术攻关建设项目：</w:t>
            </w:r>
            <w:r>
              <w:rPr>
                <w:rFonts w:hint="eastAsia" w:ascii="仿宋" w:hAnsi="仿宋" w:eastAsia="仿宋" w:cs="仿宋"/>
                <w:b w:val="0"/>
                <w:bCs w:val="0"/>
                <w:color w:val="000000" w:themeColor="text1"/>
                <w:sz w:val="21"/>
                <w:szCs w:val="21"/>
                <w:lang w:val="en-US" w:eastAsia="zh-CN"/>
                <w14:textFill>
                  <w14:solidFill>
                    <w14:schemeClr w14:val="tx1"/>
                  </w14:solidFill>
                </w14:textFill>
              </w:rPr>
              <w:t>开展白云鄂博共伴生资源铌、萤石、钪、钍综合利用技术攻关，打通多条选矿生产线，构建下游产业；</w:t>
            </w:r>
          </w:p>
          <w:p w14:paraId="0D960AA9">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b/>
                <w:bCs/>
                <w:color w:val="000000" w:themeColor="text1"/>
                <w:sz w:val="21"/>
                <w:szCs w:val="21"/>
                <w:lang w:val="en-US" w:eastAsia="zh-CN"/>
                <w14:textFill>
                  <w14:solidFill>
                    <w14:schemeClr w14:val="tx1"/>
                  </w14:solidFill>
                </w14:textFill>
              </w:rPr>
              <w:t>典型稀土矿产资源基地固废循环利用集成示范项目：</w:t>
            </w:r>
            <w:r>
              <w:rPr>
                <w:rFonts w:hint="eastAsia" w:ascii="仿宋" w:hAnsi="仿宋" w:eastAsia="仿宋" w:cs="仿宋"/>
                <w:b w:val="0"/>
                <w:bCs w:val="0"/>
                <w:color w:val="000000" w:themeColor="text1"/>
                <w:sz w:val="21"/>
                <w:szCs w:val="21"/>
                <w:lang w:val="en-US" w:eastAsia="zh-CN"/>
                <w14:textFill>
                  <w14:solidFill>
                    <w14:schemeClr w14:val="tx1"/>
                  </w14:solidFill>
                </w14:textFill>
              </w:rPr>
              <w:t>对多源稀土基固废资源环境属性及循环利用全过程污染管控、清洁工艺及选冶残渣再生制备高值材料技术等方面进行研究。</w:t>
            </w:r>
          </w:p>
        </w:tc>
      </w:tr>
    </w:tbl>
    <w:p w14:paraId="74A270C2">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sz w:val="28"/>
          <w:szCs w:val="28"/>
          <w:lang w:val="en-US" w:eastAsia="zh-CN"/>
        </w:rPr>
      </w:pPr>
      <w:bookmarkStart w:id="97" w:name="_Toc26151"/>
      <w:bookmarkStart w:id="98" w:name="_Toc20134"/>
      <w:bookmarkStart w:id="99" w:name="_Toc32436"/>
      <w:r>
        <w:rPr>
          <w:rFonts w:hint="eastAsia" w:ascii="宋体" w:hAnsi="宋体" w:eastAsia="宋体" w:cs="宋体"/>
          <w:color w:val="auto"/>
          <w:sz w:val="28"/>
          <w:szCs w:val="28"/>
        </w:rPr>
        <w:t xml:space="preserve">第二节 </w:t>
      </w:r>
      <w:r>
        <w:rPr>
          <w:rFonts w:hint="eastAsia" w:ascii="宋体" w:hAnsi="宋体" w:eastAsia="宋体" w:cs="宋体"/>
          <w:color w:val="auto"/>
          <w:sz w:val="28"/>
          <w:szCs w:val="28"/>
          <w:lang w:val="en-US" w:eastAsia="zh-CN"/>
        </w:rPr>
        <w:t>发挥企业创新主体地位</w:t>
      </w:r>
      <w:bookmarkEnd w:id="96"/>
      <w:bookmarkEnd w:id="97"/>
      <w:bookmarkEnd w:id="98"/>
      <w:bookmarkEnd w:id="99"/>
    </w:p>
    <w:p w14:paraId="5BC1A439">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鼓励</w:t>
      </w:r>
      <w:r>
        <w:rPr>
          <w:rFonts w:hint="eastAsia" w:ascii="仿宋" w:hAnsi="仿宋" w:eastAsia="仿宋" w:cs="仿宋"/>
          <w:sz w:val="24"/>
          <w:szCs w:val="24"/>
          <w:lang w:val="en-US" w:eastAsia="zh-CN"/>
        </w:rPr>
        <w:t>国有企业</w:t>
      </w:r>
      <w:r>
        <w:rPr>
          <w:rFonts w:hint="eastAsia" w:ascii="仿宋" w:hAnsi="仿宋" w:eastAsia="仿宋" w:cs="仿宋"/>
          <w:sz w:val="24"/>
          <w:szCs w:val="24"/>
        </w:rPr>
        <w:t>充分发挥龙头带动作用</w:t>
      </w:r>
      <w:r>
        <w:rPr>
          <w:rFonts w:hint="eastAsia" w:ascii="仿宋" w:hAnsi="仿宋" w:eastAsia="仿宋" w:cs="仿宋"/>
          <w:sz w:val="24"/>
          <w:szCs w:val="24"/>
          <w:lang w:eastAsia="zh-CN"/>
        </w:rPr>
        <w:t>，</w:t>
      </w:r>
      <w:r>
        <w:rPr>
          <w:rFonts w:hint="eastAsia" w:ascii="仿宋" w:hAnsi="仿宋" w:eastAsia="仿宋" w:cs="仿宋"/>
          <w:sz w:val="24"/>
          <w:szCs w:val="24"/>
        </w:rPr>
        <w:t>深挖创新潜能</w:t>
      </w:r>
      <w:r>
        <w:rPr>
          <w:rFonts w:hint="eastAsia" w:ascii="仿宋" w:hAnsi="仿宋" w:eastAsia="仿宋" w:cs="仿宋"/>
          <w:sz w:val="24"/>
          <w:szCs w:val="24"/>
          <w:lang w:eastAsia="zh-CN"/>
        </w:rPr>
        <w:t>，</w:t>
      </w:r>
      <w:r>
        <w:rPr>
          <w:rFonts w:hint="eastAsia" w:ascii="仿宋" w:hAnsi="仿宋" w:eastAsia="仿宋" w:cs="仿宋"/>
          <w:sz w:val="24"/>
          <w:szCs w:val="24"/>
        </w:rPr>
        <w:t>建立</w:t>
      </w:r>
      <w:r>
        <w:rPr>
          <w:rFonts w:hint="eastAsia" w:ascii="仿宋" w:hAnsi="仿宋" w:eastAsia="仿宋" w:cs="仿宋"/>
          <w:sz w:val="24"/>
          <w:szCs w:val="24"/>
          <w:lang w:val="en-US" w:eastAsia="zh-CN"/>
        </w:rPr>
        <w:t>健全引导企业科技创新的</w:t>
      </w:r>
      <w:r>
        <w:rPr>
          <w:rFonts w:hint="eastAsia" w:ascii="仿宋" w:hAnsi="仿宋" w:eastAsia="仿宋" w:cs="仿宋"/>
          <w:sz w:val="24"/>
          <w:szCs w:val="24"/>
        </w:rPr>
        <w:t>“群长制”</w:t>
      </w:r>
      <w:r>
        <w:rPr>
          <w:rFonts w:hint="eastAsia" w:ascii="仿宋" w:hAnsi="仿宋" w:eastAsia="仿宋" w:cs="仿宋"/>
          <w:sz w:val="24"/>
          <w:szCs w:val="24"/>
          <w:lang w:eastAsia="zh-CN"/>
        </w:rPr>
        <w:t>、</w:t>
      </w:r>
      <w:r>
        <w:rPr>
          <w:rFonts w:hint="eastAsia" w:ascii="仿宋" w:hAnsi="仿宋" w:eastAsia="仿宋" w:cs="仿宋"/>
          <w:sz w:val="24"/>
          <w:szCs w:val="24"/>
        </w:rPr>
        <w:t>“链长制”</w:t>
      </w:r>
      <w:r>
        <w:rPr>
          <w:rFonts w:hint="eastAsia" w:ascii="仿宋" w:hAnsi="仿宋" w:eastAsia="仿宋" w:cs="仿宋"/>
          <w:sz w:val="24"/>
          <w:szCs w:val="24"/>
          <w:lang w:val="en-US" w:eastAsia="zh-CN"/>
        </w:rPr>
        <w:t>等长效</w:t>
      </w:r>
      <w:r>
        <w:rPr>
          <w:rFonts w:hint="eastAsia" w:ascii="仿宋" w:hAnsi="仿宋" w:eastAsia="仿宋" w:cs="仿宋"/>
          <w:sz w:val="24"/>
          <w:szCs w:val="24"/>
        </w:rPr>
        <w:t>机制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合作机制</w:t>
      </w:r>
      <w:r>
        <w:rPr>
          <w:rFonts w:hint="eastAsia" w:ascii="仿宋" w:hAnsi="仿宋" w:eastAsia="仿宋" w:cs="仿宋"/>
          <w:sz w:val="24"/>
          <w:szCs w:val="24"/>
        </w:rPr>
        <w:t>，激励民营企业踊跃</w:t>
      </w:r>
      <w:r>
        <w:rPr>
          <w:rFonts w:hint="eastAsia" w:ascii="仿宋" w:hAnsi="仿宋" w:eastAsia="仿宋" w:cs="仿宋"/>
          <w:sz w:val="24"/>
          <w:szCs w:val="24"/>
          <w:lang w:val="en-US" w:eastAsia="zh-CN"/>
        </w:rPr>
        <w:t>进行技术革新、</w:t>
      </w:r>
      <w:r>
        <w:rPr>
          <w:rFonts w:hint="eastAsia" w:ascii="仿宋" w:hAnsi="仿宋" w:eastAsia="仿宋" w:cs="仿宋"/>
          <w:sz w:val="24"/>
          <w:szCs w:val="24"/>
        </w:rPr>
        <w:t>产业</w:t>
      </w:r>
      <w:r>
        <w:rPr>
          <w:rFonts w:hint="eastAsia" w:ascii="仿宋" w:hAnsi="仿宋" w:eastAsia="仿宋" w:cs="仿宋"/>
          <w:sz w:val="24"/>
          <w:szCs w:val="24"/>
          <w:lang w:val="en-US" w:eastAsia="zh-CN"/>
        </w:rPr>
        <w:t>创新</w:t>
      </w:r>
      <w:r>
        <w:rPr>
          <w:rFonts w:hint="eastAsia" w:ascii="仿宋" w:hAnsi="仿宋" w:eastAsia="仿宋" w:cs="仿宋"/>
          <w:sz w:val="24"/>
          <w:szCs w:val="24"/>
        </w:rPr>
        <w:t>发展，引导支持中小企业融入本地供应链创新</w:t>
      </w:r>
      <w:r>
        <w:rPr>
          <w:rFonts w:hint="eastAsia" w:ascii="仿宋" w:hAnsi="仿宋" w:eastAsia="仿宋" w:cs="仿宋"/>
          <w:sz w:val="24"/>
          <w:szCs w:val="24"/>
          <w:lang w:val="en-US" w:eastAsia="zh-CN"/>
        </w:rPr>
        <w:t>和</w:t>
      </w:r>
      <w:r>
        <w:rPr>
          <w:rFonts w:hint="eastAsia" w:ascii="仿宋" w:hAnsi="仿宋" w:eastAsia="仿宋" w:cs="仿宋"/>
          <w:sz w:val="24"/>
          <w:szCs w:val="24"/>
        </w:rPr>
        <w:t>本地产业创新体系，形成相互依托、相互支持的产业创新生态环境。加</w:t>
      </w:r>
      <w:r>
        <w:rPr>
          <w:rFonts w:hint="eastAsia" w:ascii="仿宋" w:hAnsi="仿宋" w:eastAsia="仿宋" w:cs="仿宋"/>
          <w:sz w:val="24"/>
          <w:szCs w:val="24"/>
          <w:lang w:val="en-US" w:eastAsia="zh-CN"/>
        </w:rPr>
        <w:t>大</w:t>
      </w:r>
      <w:r>
        <w:rPr>
          <w:rFonts w:hint="eastAsia" w:ascii="仿宋" w:hAnsi="仿宋" w:eastAsia="仿宋" w:cs="仿宋"/>
          <w:sz w:val="24"/>
          <w:szCs w:val="24"/>
        </w:rPr>
        <w:t>重点领域</w:t>
      </w:r>
      <w:r>
        <w:rPr>
          <w:rFonts w:hint="eastAsia" w:ascii="仿宋" w:hAnsi="仿宋" w:eastAsia="仿宋" w:cs="仿宋"/>
          <w:sz w:val="24"/>
          <w:szCs w:val="24"/>
          <w:lang w:val="en-US" w:eastAsia="zh-CN"/>
        </w:rPr>
        <w:t>的</w:t>
      </w:r>
      <w:r>
        <w:rPr>
          <w:rFonts w:hint="eastAsia" w:ascii="仿宋" w:hAnsi="仿宋" w:eastAsia="仿宋" w:cs="仿宋"/>
          <w:sz w:val="24"/>
          <w:szCs w:val="24"/>
        </w:rPr>
        <w:t>创新投入，对接自治区</w:t>
      </w:r>
      <w:r>
        <w:rPr>
          <w:rFonts w:hint="eastAsia" w:ascii="仿宋" w:hAnsi="仿宋" w:eastAsia="仿宋" w:cs="仿宋"/>
          <w:sz w:val="24"/>
          <w:szCs w:val="24"/>
          <w:lang w:eastAsia="zh-CN"/>
        </w:rPr>
        <w:t>、</w:t>
      </w:r>
      <w:r>
        <w:rPr>
          <w:rFonts w:hint="eastAsia" w:ascii="仿宋" w:hAnsi="仿宋" w:eastAsia="仿宋" w:cs="仿宋"/>
          <w:sz w:val="24"/>
          <w:szCs w:val="24"/>
        </w:rPr>
        <w:t>包头市科技</w:t>
      </w:r>
      <w:r>
        <w:rPr>
          <w:rFonts w:hint="eastAsia" w:ascii="仿宋" w:hAnsi="仿宋" w:eastAsia="仿宋" w:cs="仿宋"/>
          <w:sz w:val="24"/>
          <w:szCs w:val="24"/>
          <w:lang w:eastAsia="zh-CN"/>
        </w:rPr>
        <w:t>研发指南</w:t>
      </w:r>
      <w:r>
        <w:rPr>
          <w:rFonts w:hint="eastAsia" w:ascii="仿宋" w:hAnsi="仿宋" w:eastAsia="仿宋" w:cs="仿宋"/>
          <w:sz w:val="24"/>
          <w:szCs w:val="24"/>
        </w:rPr>
        <w:t>，</w:t>
      </w:r>
      <w:r>
        <w:rPr>
          <w:rFonts w:hint="eastAsia" w:ascii="仿宋" w:hAnsi="仿宋" w:eastAsia="仿宋" w:cs="仿宋"/>
          <w:sz w:val="24"/>
          <w:szCs w:val="24"/>
          <w:lang w:val="en-US" w:eastAsia="zh-CN"/>
        </w:rPr>
        <w:t>积极</w:t>
      </w:r>
      <w:r>
        <w:rPr>
          <w:rFonts w:hint="eastAsia" w:ascii="仿宋" w:hAnsi="仿宋" w:eastAsia="仿宋" w:cs="仿宋"/>
          <w:sz w:val="24"/>
          <w:szCs w:val="24"/>
        </w:rPr>
        <w:t>争取国家</w:t>
      </w:r>
      <w:r>
        <w:rPr>
          <w:rFonts w:hint="eastAsia" w:ascii="仿宋" w:hAnsi="仿宋" w:eastAsia="仿宋" w:cs="仿宋"/>
          <w:sz w:val="24"/>
          <w:szCs w:val="24"/>
          <w:lang w:eastAsia="zh-CN"/>
        </w:rPr>
        <w:t>级</w:t>
      </w:r>
      <w:r>
        <w:rPr>
          <w:rFonts w:hint="eastAsia" w:ascii="仿宋" w:hAnsi="仿宋" w:eastAsia="仿宋" w:cs="仿宋"/>
          <w:sz w:val="24"/>
          <w:szCs w:val="24"/>
        </w:rPr>
        <w:t>、自治区</w:t>
      </w:r>
      <w:r>
        <w:rPr>
          <w:rFonts w:hint="eastAsia" w:ascii="仿宋" w:hAnsi="仿宋" w:eastAsia="仿宋" w:cs="仿宋"/>
          <w:sz w:val="24"/>
          <w:szCs w:val="24"/>
          <w:lang w:eastAsia="zh-CN"/>
        </w:rPr>
        <w:t>级</w:t>
      </w:r>
      <w:r>
        <w:rPr>
          <w:rFonts w:hint="eastAsia" w:ascii="仿宋" w:hAnsi="仿宋" w:eastAsia="仿宋" w:cs="仿宋"/>
          <w:sz w:val="24"/>
          <w:szCs w:val="24"/>
        </w:rPr>
        <w:t>重大科技专项</w:t>
      </w:r>
      <w:r>
        <w:rPr>
          <w:rFonts w:hint="eastAsia" w:ascii="仿宋" w:hAnsi="仿宋" w:eastAsia="仿宋" w:cs="仿宋"/>
          <w:sz w:val="24"/>
          <w:szCs w:val="24"/>
          <w:lang w:val="en-US" w:eastAsia="zh-CN"/>
        </w:rPr>
        <w:t>。</w:t>
      </w:r>
      <w:r>
        <w:rPr>
          <w:rFonts w:hint="eastAsia" w:ascii="仿宋" w:hAnsi="仿宋" w:eastAsia="仿宋" w:cs="仿宋"/>
          <w:sz w:val="24"/>
          <w:szCs w:val="24"/>
        </w:rPr>
        <w:t>围绕</w:t>
      </w:r>
      <w:r>
        <w:rPr>
          <w:rFonts w:hint="eastAsia" w:ascii="仿宋" w:hAnsi="仿宋" w:eastAsia="仿宋" w:cs="仿宋"/>
          <w:sz w:val="24"/>
          <w:szCs w:val="24"/>
          <w:lang w:val="en-US" w:eastAsia="zh-CN"/>
        </w:rPr>
        <w:t>绿色矿山建设、矿产资源综合开发利用、尾矿资源再利用</w:t>
      </w:r>
      <w:r>
        <w:rPr>
          <w:rFonts w:hint="eastAsia" w:ascii="仿宋" w:hAnsi="仿宋" w:eastAsia="仿宋" w:cs="仿宋"/>
          <w:sz w:val="24"/>
          <w:szCs w:val="24"/>
        </w:rPr>
        <w:t>等</w:t>
      </w:r>
      <w:r>
        <w:rPr>
          <w:rFonts w:hint="eastAsia" w:ascii="仿宋" w:hAnsi="仿宋" w:eastAsia="仿宋" w:cs="仿宋"/>
          <w:sz w:val="24"/>
          <w:szCs w:val="24"/>
          <w:lang w:val="en-US" w:eastAsia="zh-CN"/>
        </w:rPr>
        <w:t>重点</w:t>
      </w:r>
      <w:r>
        <w:rPr>
          <w:rFonts w:hint="eastAsia" w:ascii="仿宋" w:hAnsi="仿宋" w:eastAsia="仿宋" w:cs="仿宋"/>
          <w:sz w:val="24"/>
          <w:szCs w:val="24"/>
        </w:rPr>
        <w:t>领域，</w:t>
      </w:r>
      <w:r>
        <w:rPr>
          <w:rFonts w:hint="eastAsia" w:ascii="仿宋" w:hAnsi="仿宋" w:eastAsia="仿宋" w:cs="仿宋"/>
          <w:sz w:val="24"/>
          <w:szCs w:val="24"/>
          <w:lang w:val="en-US" w:eastAsia="zh-CN"/>
        </w:rPr>
        <w:t>积极开展含铁有用岩技术攻关，探索铌、钪等元素提取应用技术攻关；积极引进风电、光伏发电制氢、储氢载体、运氢方式等</w:t>
      </w:r>
      <w:r>
        <w:rPr>
          <w:rFonts w:hint="eastAsia" w:ascii="仿宋" w:hAnsi="仿宋" w:eastAsia="仿宋" w:cs="仿宋"/>
          <w:sz w:val="24"/>
          <w:szCs w:val="24"/>
        </w:rPr>
        <w:t>关键技术</w:t>
      </w:r>
      <w:r>
        <w:rPr>
          <w:rFonts w:hint="eastAsia" w:ascii="仿宋" w:hAnsi="仿宋" w:eastAsia="仿宋" w:cs="仿宋"/>
          <w:sz w:val="24"/>
          <w:szCs w:val="24"/>
          <w:lang w:val="en-US" w:eastAsia="zh-CN"/>
        </w:rPr>
        <w:t>和</w:t>
      </w:r>
      <w:r>
        <w:rPr>
          <w:rFonts w:hint="eastAsia" w:ascii="仿宋" w:hAnsi="仿宋" w:eastAsia="仿宋" w:cs="仿宋"/>
          <w:sz w:val="24"/>
          <w:szCs w:val="24"/>
        </w:rPr>
        <w:t>工艺，培育战略性产业创新能力</w:t>
      </w:r>
      <w:r>
        <w:rPr>
          <w:rFonts w:hint="eastAsia" w:ascii="仿宋" w:hAnsi="仿宋" w:eastAsia="仿宋" w:cs="仿宋"/>
          <w:sz w:val="24"/>
          <w:szCs w:val="24"/>
          <w:lang w:eastAsia="zh-CN"/>
        </w:rPr>
        <w:t>，到</w:t>
      </w:r>
      <w:r>
        <w:rPr>
          <w:rFonts w:hint="eastAsia" w:ascii="仿宋" w:hAnsi="仿宋" w:eastAsia="仿宋" w:cs="仿宋"/>
          <w:sz w:val="24"/>
          <w:szCs w:val="24"/>
          <w:lang w:val="en-US" w:eastAsia="zh-CN"/>
        </w:rPr>
        <w:t>2025年，</w:t>
      </w:r>
      <w:r>
        <w:rPr>
          <w:rFonts w:hint="eastAsia" w:ascii="仿宋" w:hAnsi="仿宋" w:eastAsia="仿宋" w:cs="仿宋"/>
          <w:sz w:val="24"/>
          <w:szCs w:val="24"/>
        </w:rPr>
        <w:t>力争取得一批填补</w:t>
      </w:r>
      <w:r>
        <w:rPr>
          <w:rFonts w:hint="eastAsia" w:ascii="仿宋" w:hAnsi="仿宋" w:eastAsia="仿宋" w:cs="仿宋"/>
          <w:sz w:val="24"/>
          <w:szCs w:val="24"/>
          <w:lang w:eastAsia="zh-CN"/>
        </w:rPr>
        <w:t>自治区</w:t>
      </w:r>
      <w:r>
        <w:rPr>
          <w:rFonts w:hint="eastAsia" w:ascii="仿宋" w:hAnsi="仿宋" w:eastAsia="仿宋" w:cs="仿宋"/>
          <w:sz w:val="24"/>
          <w:szCs w:val="24"/>
        </w:rPr>
        <w:t>内空白、达到国</w:t>
      </w:r>
      <w:r>
        <w:rPr>
          <w:rFonts w:hint="eastAsia" w:ascii="仿宋" w:hAnsi="仿宋" w:eastAsia="仿宋" w:cs="仿宋"/>
          <w:sz w:val="24"/>
          <w:szCs w:val="24"/>
          <w:lang w:eastAsia="zh-CN"/>
        </w:rPr>
        <w:t>家</w:t>
      </w:r>
      <w:r>
        <w:rPr>
          <w:rFonts w:hint="eastAsia" w:ascii="仿宋" w:hAnsi="仿宋" w:eastAsia="仿宋" w:cs="仿宋"/>
          <w:sz w:val="24"/>
          <w:szCs w:val="24"/>
        </w:rPr>
        <w:t>领先的创新成果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把白云矿区发展</w:t>
      </w:r>
      <w:r>
        <w:rPr>
          <w:rFonts w:hint="eastAsia" w:ascii="仿宋" w:hAnsi="仿宋" w:eastAsia="仿宋" w:cs="仿宋"/>
          <w:sz w:val="24"/>
          <w:szCs w:val="24"/>
        </w:rPr>
        <w:t>成为包头市区域性创新中心的重要组成部分。</w:t>
      </w:r>
    </w:p>
    <w:p w14:paraId="262A9702">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3"/>
        <w:tblW w:w="558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14:paraId="1840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580" w:type="dxa"/>
            <w:tcBorders>
              <w:top w:val="single" w:color="auto" w:sz="4" w:space="0"/>
              <w:left w:val="single" w:color="auto" w:sz="4" w:space="0"/>
              <w:bottom w:val="single" w:color="auto" w:sz="4" w:space="0"/>
              <w:right w:val="single" w:color="auto" w:sz="4" w:space="0"/>
            </w:tcBorders>
            <w:noWrap/>
            <w:vAlign w:val="top"/>
          </w:tcPr>
          <w:p w14:paraId="42DAEF6A">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3  发挥企业创新主体地位</w:t>
            </w:r>
          </w:p>
          <w:p w14:paraId="270F119F">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宝山矿业生产辅助技改工程：</w:t>
            </w:r>
            <w:r>
              <w:rPr>
                <w:rFonts w:hint="eastAsia" w:ascii="仿宋" w:hAnsi="仿宋" w:eastAsia="仿宋" w:cs="仿宋"/>
                <w:b w:val="0"/>
                <w:bCs w:val="0"/>
                <w:color w:val="000000" w:themeColor="text1"/>
                <w:sz w:val="24"/>
                <w:szCs w:val="24"/>
                <w:lang w:val="en-US" w:eastAsia="zh-CN"/>
                <w14:textFill>
                  <w14:solidFill>
                    <w14:schemeClr w14:val="tx1"/>
                  </w14:solidFill>
                </w14:textFill>
              </w:rPr>
              <w:t>新增脱泥-淘洗系统工艺；建设尾矿浓缩池，购置设备及电缆沟恢复治理等工程，对生产工业用水进行综合处理；</w:t>
            </w:r>
          </w:p>
          <w:p w14:paraId="5B1AA65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矿山采运产业链提升项目：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白云铁矿主矿岩石胶带运输系统采用汽车-破碎站-胶带联合运输方式。</w:t>
            </w:r>
          </w:p>
          <w:p w14:paraId="1B5185C4">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b/>
                <w:bCs/>
                <w:color w:val="000000" w:themeColor="text1"/>
                <w:sz w:val="24"/>
                <w:szCs w:val="24"/>
                <w:lang w:val="en-US" w:eastAsia="zh-CN"/>
                <w14:textFill>
                  <w14:solidFill>
                    <w14:schemeClr w14:val="tx1"/>
                  </w14:solidFill>
                </w14:textFill>
              </w:rPr>
              <w:t>白云岩排土场含铁有用岩干选项目：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建设</w:t>
            </w:r>
            <w:r>
              <w:rPr>
                <w:rFonts w:hint="eastAsia" w:ascii="仿宋" w:hAnsi="仿宋" w:eastAsia="仿宋" w:cs="仿宋"/>
                <w:color w:val="000000" w:themeColor="text1"/>
                <w:sz w:val="24"/>
                <w:szCs w:val="24"/>
                <w:lang w:val="en-US" w:eastAsia="zh-CN"/>
                <w14:textFill>
                  <w14:solidFill>
                    <w14:schemeClr w14:val="tx1"/>
                  </w14:solidFill>
                </w14:textFill>
              </w:rPr>
              <w:t>600万吨含铁有用岩干选回收项目，将排土场含铁资源进行一段破碎一段干式磁选，生产TFe品位15%以上铁粗精矿。</w:t>
            </w:r>
          </w:p>
        </w:tc>
      </w:tr>
    </w:tbl>
    <w:p w14:paraId="003D60A7">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00" w:name="_Toc22317"/>
      <w:bookmarkStart w:id="101" w:name="_Toc2969"/>
      <w:bookmarkStart w:id="102" w:name="_Toc15372"/>
      <w:r>
        <w:rPr>
          <w:rFonts w:hint="eastAsia" w:ascii="宋体" w:hAnsi="宋体" w:eastAsia="宋体" w:cs="宋体"/>
          <w:sz w:val="28"/>
          <w:szCs w:val="28"/>
          <w:lang w:val="en-US" w:eastAsia="zh-CN"/>
        </w:rPr>
        <w:t xml:space="preserve">第三节 </w:t>
      </w:r>
      <w:bookmarkStart w:id="103" w:name="_Toc2404"/>
      <w:r>
        <w:rPr>
          <w:rFonts w:hint="eastAsia" w:ascii="宋体" w:hAnsi="宋体" w:eastAsia="宋体" w:cs="宋体"/>
          <w:sz w:val="28"/>
          <w:szCs w:val="28"/>
          <w:lang w:val="en-US" w:eastAsia="zh-CN"/>
        </w:rPr>
        <w:t>积极实施人才创新战略</w:t>
      </w:r>
      <w:bookmarkEnd w:id="100"/>
      <w:bookmarkEnd w:id="101"/>
      <w:bookmarkEnd w:id="102"/>
    </w:p>
    <w:p w14:paraId="01B21A2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8640"/>
        </w:tabs>
        <w:kinsoku/>
        <w:wordWrap/>
        <w:overflowPunct/>
        <w:topLinePunct w:val="0"/>
        <w:autoSpaceDE/>
        <w:autoSpaceDN/>
        <w:bidi w:val="0"/>
        <w:adjustRightInd w:val="0"/>
        <w:snapToGrid w:val="0"/>
        <w:spacing w:line="520" w:lineRule="exact"/>
        <w:ind w:firstLine="480" w:firstLineChars="20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抓好用好现有人才政策，挖掘本土人才潜力，</w:t>
      </w:r>
      <w:r>
        <w:rPr>
          <w:rFonts w:hint="eastAsia" w:ascii="仿宋" w:hAnsi="仿宋" w:eastAsia="仿宋" w:cs="仿宋"/>
          <w:b w:val="0"/>
          <w:bCs w:val="0"/>
          <w:color w:val="000000"/>
          <w:kern w:val="0"/>
          <w:sz w:val="24"/>
          <w:szCs w:val="24"/>
          <w:lang w:val="en-US" w:eastAsia="zh-CN" w:bidi="ar"/>
        </w:rPr>
        <w:t>建立健全人才管理长效机制，</w:t>
      </w:r>
      <w:r>
        <w:rPr>
          <w:rFonts w:hint="eastAsia" w:ascii="仿宋" w:hAnsi="仿宋" w:eastAsia="仿宋" w:cs="仿宋"/>
          <w:color w:val="000000"/>
          <w:kern w:val="0"/>
          <w:sz w:val="24"/>
          <w:szCs w:val="24"/>
          <w:lang w:val="en-US" w:eastAsia="zh-CN" w:bidi="ar"/>
        </w:rPr>
        <w:t>从学生招考、人才引进、聘用、调动等多途径入手，鼓励人才回乡就业；激励全区干部立足本职岗位成长成才，保证干部队伍后备力量，全面落实《白云鄂博矿区编外岗位适用优秀人才管理办法（试行）》、《白云鄂博矿区高层次和紧缺急需人才引进实施办法（试行）》，</w:t>
      </w:r>
      <w:r>
        <w:rPr>
          <w:rFonts w:hint="eastAsia" w:ascii="仿宋" w:hAnsi="仿宋" w:eastAsia="仿宋" w:cs="仿宋"/>
          <w:color w:val="000000" w:themeColor="text1"/>
          <w:sz w:val="24"/>
          <w:szCs w:val="24"/>
          <w:lang w:eastAsia="zh-CN"/>
          <w14:textFill>
            <w14:solidFill>
              <w14:schemeClr w14:val="tx1"/>
            </w14:solidFill>
          </w14:textFill>
        </w:rPr>
        <w:t>根据我区实际，进一步完善各类人才引进制度、人才管理制度和人才保护制度</w:t>
      </w:r>
      <w:r>
        <w:rPr>
          <w:rFonts w:hint="eastAsia" w:ascii="仿宋" w:hAnsi="仿宋" w:eastAsia="仿宋" w:cs="仿宋"/>
          <w:color w:val="000000"/>
          <w:kern w:val="0"/>
          <w:sz w:val="24"/>
          <w:szCs w:val="24"/>
          <w:lang w:val="en-US" w:eastAsia="zh-CN" w:bidi="ar"/>
        </w:rPr>
        <w:t>。</w:t>
      </w:r>
    </w:p>
    <w:p w14:paraId="36E0CBE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8640"/>
        </w:tabs>
        <w:kinsoku/>
        <w:wordWrap/>
        <w:overflowPunct/>
        <w:topLinePunct w:val="0"/>
        <w:autoSpaceDE/>
        <w:autoSpaceDN/>
        <w:bidi w:val="0"/>
        <w:adjustRightInd w:val="0"/>
        <w:snapToGrid w:val="0"/>
        <w:spacing w:line="520" w:lineRule="exact"/>
        <w:ind w:firstLine="480" w:firstLineChars="200"/>
        <w:jc w:val="both"/>
        <w:textAlignment w:val="auto"/>
        <w:rPr>
          <w:rFonts w:hint="eastAsia" w:ascii="仿宋" w:hAnsi="仿宋" w:eastAsia="仿宋" w:cs="仿宋"/>
          <w:b w:val="0"/>
          <w:bCs w:val="0"/>
          <w:color w:val="auto"/>
          <w:kern w:val="2"/>
          <w:sz w:val="24"/>
          <w:szCs w:val="24"/>
          <w:shd w:val="clear" w:color="auto" w:fill="FFFFFF"/>
          <w:lang w:val="en-US" w:eastAsia="zh-CN" w:bidi="ar-SA"/>
        </w:rPr>
      </w:pPr>
      <w:r>
        <w:rPr>
          <w:rFonts w:hint="eastAsia" w:ascii="仿宋" w:hAnsi="仿宋" w:eastAsia="仿宋" w:cs="仿宋"/>
          <w:b w:val="0"/>
          <w:bCs w:val="0"/>
          <w:color w:val="000000"/>
          <w:kern w:val="2"/>
          <w:sz w:val="24"/>
          <w:szCs w:val="24"/>
          <w:lang w:val="en-US" w:eastAsia="zh-CN" w:bidi="ar-SA"/>
        </w:rPr>
        <w:t>创新用人管理体制，</w:t>
      </w:r>
      <w:r>
        <w:rPr>
          <w:rFonts w:hint="eastAsia" w:ascii="仿宋" w:hAnsi="仿宋" w:eastAsia="仿宋" w:cs="仿宋"/>
          <w:color w:val="000000" w:themeColor="text1"/>
          <w:sz w:val="24"/>
          <w:szCs w:val="24"/>
          <w:lang w:eastAsia="zh-CN"/>
          <w14:textFill>
            <w14:solidFill>
              <w14:schemeClr w14:val="tx1"/>
            </w14:solidFill>
          </w14:textFill>
        </w:rPr>
        <w:t>建立人才评价体系、</w:t>
      </w:r>
      <w:r>
        <w:rPr>
          <w:rFonts w:hint="eastAsia" w:ascii="仿宋" w:hAnsi="仿宋" w:eastAsia="仿宋" w:cs="仿宋"/>
          <w:color w:val="000000"/>
          <w:kern w:val="2"/>
          <w:sz w:val="24"/>
          <w:szCs w:val="24"/>
          <w:lang w:val="en-US" w:eastAsia="zh-CN" w:bidi="ar-SA"/>
        </w:rPr>
        <w:t>人才储备补充机制，</w:t>
      </w:r>
      <w:r>
        <w:rPr>
          <w:rFonts w:hint="eastAsia" w:ascii="仿宋" w:hAnsi="仿宋" w:eastAsia="仿宋" w:cs="仿宋"/>
          <w:b w:val="0"/>
          <w:bCs w:val="0"/>
          <w:sz w:val="24"/>
          <w:szCs w:val="24"/>
          <w:lang w:val="en-US" w:eastAsia="zh-CN"/>
        </w:rPr>
        <w:t>构建</w:t>
      </w:r>
      <w:r>
        <w:rPr>
          <w:rFonts w:hint="eastAsia" w:ascii="仿宋" w:hAnsi="仿宋" w:eastAsia="仿宋" w:cs="仿宋"/>
          <w:color w:val="000000"/>
          <w:kern w:val="2"/>
          <w:sz w:val="24"/>
          <w:szCs w:val="24"/>
          <w:lang w:val="en-US" w:eastAsia="zh-CN" w:bidi="ar-SA"/>
        </w:rPr>
        <w:t>衔接有序、梯次配备、合理使用的</w:t>
      </w:r>
      <w:r>
        <w:rPr>
          <w:rFonts w:hint="eastAsia" w:ascii="仿宋" w:hAnsi="仿宋" w:eastAsia="仿宋" w:cs="仿宋"/>
          <w:b w:val="0"/>
          <w:bCs w:val="0"/>
          <w:sz w:val="24"/>
          <w:szCs w:val="24"/>
          <w:lang w:val="en-US" w:eastAsia="zh-CN"/>
        </w:rPr>
        <w:t>多层次人才体系，</w:t>
      </w:r>
      <w:r>
        <w:rPr>
          <w:rFonts w:hint="eastAsia" w:ascii="仿宋" w:hAnsi="仿宋" w:eastAsia="仿宋" w:cs="仿宋"/>
          <w:color w:val="000000"/>
          <w:kern w:val="2"/>
          <w:sz w:val="24"/>
          <w:szCs w:val="24"/>
          <w:lang w:val="en-US" w:eastAsia="zh-CN" w:bidi="ar-SA"/>
        </w:rPr>
        <w:t>有效</w:t>
      </w:r>
      <w:r>
        <w:rPr>
          <w:rFonts w:hint="eastAsia" w:ascii="仿宋" w:hAnsi="仿宋" w:eastAsia="仿宋" w:cs="仿宋"/>
          <w:b w:val="0"/>
          <w:bCs w:val="0"/>
          <w:sz w:val="24"/>
          <w:szCs w:val="24"/>
          <w:lang w:val="en-US" w:eastAsia="zh-CN"/>
        </w:rPr>
        <w:t>解决人才断档、</w:t>
      </w:r>
      <w:r>
        <w:rPr>
          <w:rFonts w:hint="eastAsia" w:ascii="仿宋" w:hAnsi="仿宋" w:eastAsia="仿宋" w:cs="仿宋"/>
          <w:color w:val="000000"/>
          <w:kern w:val="2"/>
          <w:sz w:val="24"/>
          <w:szCs w:val="24"/>
          <w:lang w:val="en-US" w:eastAsia="zh-CN" w:bidi="ar-SA"/>
        </w:rPr>
        <w:t>流失问题。</w:t>
      </w:r>
      <w:r>
        <w:rPr>
          <w:rFonts w:hint="eastAsia" w:ascii="仿宋" w:hAnsi="仿宋" w:eastAsia="仿宋" w:cs="仿宋"/>
          <w:b w:val="0"/>
          <w:bCs w:val="0"/>
          <w:sz w:val="24"/>
          <w:szCs w:val="24"/>
          <w:lang w:val="en-US" w:eastAsia="zh-CN"/>
        </w:rPr>
        <w:t>聚焦重大攻关项目和重点产业领域，着力抓好高层次创新型领军人才队伍建设、各类急需紧缺人才队伍建设，做好基层专业技术人才队伍建设；深入开展专家服务基层活动，加强专家服务基地建设；深化技能人员职业资格制度改革，科学制定评价标准；大力倡导工匠精神，突出职业能力导向，加大高技能人才培训力度。</w:t>
      </w:r>
      <w:r>
        <w:rPr>
          <w:rFonts w:hint="eastAsia" w:ascii="仿宋" w:hAnsi="仿宋" w:eastAsia="仿宋" w:cs="仿宋"/>
          <w:b w:val="0"/>
          <w:bCs w:val="0"/>
          <w:color w:val="auto"/>
          <w:kern w:val="2"/>
          <w:sz w:val="24"/>
          <w:szCs w:val="24"/>
          <w:shd w:val="clear" w:color="auto" w:fill="FFFFFF"/>
          <w:lang w:val="en-US" w:eastAsia="zh-CN" w:bidi="ar-SA"/>
        </w:rPr>
        <w:t>大力实施自治区“鸿雁计划”。通过项目合作、兼职服务、顾问指导、技术入股等方式柔性引进外地人才，构建“一心多点”人才引进新机制。积极推动构建“人才飞地”，探索推广“研发在外地，转化在白云”等引才、引资模式；加大院士工作站引入力度，拓展与国内外名校、著名研发机构的深度合作，吸引高层次人才来我区开展科学研究、科研转化、中试试验等科研活动；坚持开展“工业科技特派员”活动，鼓励区内企业与高等院校、科研院所共建人才合作培养机制以及项目合作平台，积极引入、汇聚科研领军人才、青年拔尖人才、创新创业人才、企业家人才、高技能人才。</w:t>
      </w:r>
    </w:p>
    <w:p w14:paraId="3355B6F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8640"/>
        </w:tabs>
        <w:kinsoku/>
        <w:wordWrap/>
        <w:overflowPunct/>
        <w:topLinePunct w:val="0"/>
        <w:autoSpaceDE/>
        <w:autoSpaceDN/>
        <w:bidi w:val="0"/>
        <w:adjustRightInd w:val="0"/>
        <w:snapToGrid w:val="0"/>
        <w:spacing w:line="520" w:lineRule="exact"/>
        <w:ind w:left="0" w:leftChars="0" w:firstLine="480" w:firstLineChars="20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val="0"/>
          <w:bCs w:val="0"/>
          <w:color w:val="auto"/>
          <w:kern w:val="2"/>
          <w:sz w:val="24"/>
          <w:szCs w:val="24"/>
          <w:shd w:val="clear" w:color="auto" w:fill="FFFFFF"/>
          <w:lang w:val="en-US" w:eastAsia="zh-CN" w:bidi="ar-SA"/>
        </w:rPr>
        <w:t>建立健全引进人才配套服务体系、标准化服务建设，构建统一的人才综合服务平台，打造“一站式”人才服务模式，提高人才服务效率。完善高层次人才管理和服务机制，开辟高层次人才服务“绿色通道”，为各类高层次人才提供周到便利服务；完善人才荣誉和奖励制度，在全社会营造尊重人才、尊重知识、尊重创造的人文环境。</w:t>
      </w:r>
      <w:r>
        <w:rPr>
          <w:rFonts w:hint="eastAsia" w:ascii="仿宋" w:hAnsi="仿宋" w:eastAsia="仿宋" w:cs="仿宋"/>
          <w:color w:val="000000"/>
          <w:kern w:val="0"/>
          <w:sz w:val="24"/>
          <w:szCs w:val="24"/>
          <w:lang w:val="en-US" w:eastAsia="zh-CN" w:bidi="ar"/>
        </w:rPr>
        <w:t>在子女教育、医疗保健、配偶就业、社会保障等方面提供精细化、高水平服务保障，</w:t>
      </w:r>
      <w:r>
        <w:rPr>
          <w:rFonts w:hint="eastAsia" w:ascii="仿宋" w:hAnsi="仿宋" w:eastAsia="仿宋" w:cs="仿宋"/>
          <w:color w:val="auto"/>
          <w:kern w:val="0"/>
          <w:sz w:val="24"/>
          <w:szCs w:val="24"/>
          <w:lang w:val="en-US" w:eastAsia="zh-CN" w:bidi="ar"/>
        </w:rPr>
        <w:t>为引进人才提供良好的工作生活环境。</w:t>
      </w:r>
      <w:r>
        <w:rPr>
          <w:rFonts w:hint="eastAsia" w:ascii="仿宋" w:hAnsi="仿宋" w:eastAsia="仿宋" w:cs="仿宋"/>
          <w:color w:val="000000"/>
          <w:kern w:val="0"/>
          <w:sz w:val="24"/>
          <w:szCs w:val="24"/>
          <w:lang w:val="en-US" w:eastAsia="zh-CN" w:bidi="ar"/>
        </w:rPr>
        <w:t>同时，对选聘到我区工作的事业单位工作人员在首次聘任专业技术岗位时，给予优先评聘职称的待遇，为专技人员提前吃下“定心丸”，</w:t>
      </w:r>
      <w:r>
        <w:rPr>
          <w:rFonts w:hint="eastAsia" w:ascii="仿宋" w:hAnsi="仿宋" w:eastAsia="仿宋" w:cs="仿宋"/>
          <w:color w:val="000000" w:themeColor="text1"/>
          <w:kern w:val="0"/>
          <w:sz w:val="24"/>
          <w:szCs w:val="24"/>
          <w:lang w:val="en-US" w:eastAsia="zh-CN" w:bidi="ar"/>
          <w14:textFill>
            <w14:solidFill>
              <w14:schemeClr w14:val="tx1"/>
            </w14:solidFill>
          </w14:textFill>
        </w:rPr>
        <w:t>进一步</w:t>
      </w:r>
      <w:r>
        <w:rPr>
          <w:rFonts w:hint="eastAsia" w:ascii="仿宋" w:hAnsi="仿宋" w:eastAsia="仿宋" w:cs="仿宋"/>
          <w:color w:val="000000"/>
          <w:kern w:val="0"/>
          <w:sz w:val="24"/>
          <w:szCs w:val="24"/>
          <w:lang w:val="en-US" w:eastAsia="zh-CN" w:bidi="ar"/>
        </w:rPr>
        <w:t>稳住人才，吸引人才。</w:t>
      </w:r>
      <w:bookmarkEnd w:id="103"/>
      <w:bookmarkStart w:id="104" w:name="_Toc28401"/>
      <w:r>
        <w:rPr>
          <w:rFonts w:hint="eastAsia" w:ascii="仿宋" w:hAnsi="仿宋" w:eastAsia="仿宋" w:cs="仿宋"/>
          <w:color w:val="000000"/>
          <w:kern w:val="0"/>
          <w:sz w:val="24"/>
          <w:szCs w:val="24"/>
          <w:lang w:val="en-US" w:eastAsia="zh-CN" w:bidi="ar"/>
        </w:rPr>
        <w:t>深入实施青年发展规划，促进青年全面发展，搭建青年成才成长和建功立业的平台，激发青年创新创业活力。</w:t>
      </w:r>
    </w:p>
    <w:p w14:paraId="5FE5878C">
      <w:pPr>
        <w:pStyle w:val="7"/>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20" w:lineRule="exact"/>
        <w:textAlignment w:val="auto"/>
        <w:rPr>
          <w:rFonts w:hint="eastAsia" w:ascii="仿宋" w:hAnsi="仿宋" w:eastAsia="仿宋" w:cs="仿宋"/>
          <w:color w:val="000000"/>
          <w:kern w:val="0"/>
          <w:sz w:val="24"/>
          <w:szCs w:val="24"/>
          <w:lang w:val="en-US" w:eastAsia="zh-CN" w:bidi="ar"/>
        </w:rPr>
      </w:pPr>
    </w:p>
    <w:p w14:paraId="4D2B3DDE">
      <w:pPr>
        <w:pStyle w:val="3"/>
        <w:pageBreakBefore w:val="0"/>
        <w:numPr>
          <w:ilvl w:val="0"/>
          <w:numId w:val="2"/>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105" w:name="_Toc2823"/>
      <w:r>
        <w:rPr>
          <w:rFonts w:hint="eastAsia" w:ascii="Cambria" w:hAnsi="Cambria" w:eastAsia="方正黑体简体" w:cs="Times New Roman"/>
          <w:b w:val="0"/>
          <w:bCs/>
          <w:kern w:val="0"/>
          <w:sz w:val="28"/>
          <w:szCs w:val="32"/>
          <w:lang w:val="en-US" w:eastAsia="zh-CN" w:bidi="ar-SA"/>
        </w:rPr>
        <w:t xml:space="preserve"> </w:t>
      </w:r>
      <w:bookmarkStart w:id="106" w:name="_Toc9211"/>
      <w:bookmarkStart w:id="107" w:name="_Toc26494"/>
      <w:r>
        <w:rPr>
          <w:rFonts w:hint="eastAsia" w:ascii="Cambria" w:hAnsi="Cambria" w:eastAsia="方正黑体简体" w:cs="Times New Roman"/>
          <w:b w:val="0"/>
          <w:bCs/>
          <w:kern w:val="0"/>
          <w:sz w:val="28"/>
          <w:szCs w:val="32"/>
          <w:lang w:val="en-US" w:eastAsia="zh-CN" w:bidi="ar-SA"/>
        </w:rPr>
        <w:t>构建现代产业体系 助力高质量发展</w:t>
      </w:r>
      <w:bookmarkEnd w:id="105"/>
      <w:bookmarkEnd w:id="106"/>
      <w:bookmarkEnd w:id="107"/>
    </w:p>
    <w:p w14:paraId="0A527A25">
      <w:pPr>
        <w:pageBreakBefore w:val="0"/>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p>
    <w:p w14:paraId="59704EB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snapToGrid w:val="0"/>
          <w:spacing w:val="0"/>
          <w:kern w:val="0"/>
          <w:sz w:val="24"/>
          <w:szCs w:val="24"/>
          <w:lang w:val="en-US" w:eastAsia="zh-CN"/>
        </w:rPr>
      </w:pPr>
      <w:r>
        <w:rPr>
          <w:rFonts w:hint="eastAsia" w:ascii="仿宋" w:hAnsi="仿宋" w:eastAsia="仿宋" w:cs="仿宋"/>
          <w:bCs/>
          <w:color w:val="auto"/>
          <w:sz w:val="24"/>
          <w:szCs w:val="24"/>
          <w:lang w:val="en-US" w:eastAsia="zh-CN"/>
        </w:rPr>
        <w:t>找准白云矿区在构建新发展格局中的定位，深入分析自己的优势领域和短板不足，进一步明确经济发展的重点产业和主攻方向，</w:t>
      </w:r>
      <w:r>
        <w:rPr>
          <w:rFonts w:hint="eastAsia" w:ascii="仿宋" w:hAnsi="仿宋" w:eastAsia="仿宋" w:cs="仿宋"/>
          <w:snapToGrid w:val="0"/>
          <w:spacing w:val="0"/>
          <w:kern w:val="0"/>
          <w:sz w:val="24"/>
          <w:szCs w:val="24"/>
          <w:lang w:val="en-US" w:eastAsia="zh-CN"/>
        </w:rPr>
        <w:t>坚持把发展经济着力点放在实体经济上。以“四大基地”建设为重点，加快调整优化产业结构，全面实施高质量发展，推进产业基础高级化、产业链现代化，形成多元发展、多级支撑的现代产业体系。</w:t>
      </w:r>
    </w:p>
    <w:p w14:paraId="1DE5E61A">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08" w:name="_Toc16826"/>
      <w:bookmarkStart w:id="109" w:name="_Toc911"/>
      <w:bookmarkStart w:id="110" w:name="_Toc29780"/>
      <w:bookmarkStart w:id="111" w:name="_Toc22631"/>
      <w:bookmarkStart w:id="112" w:name="_Toc11390"/>
      <w:bookmarkStart w:id="113" w:name="_Toc5893"/>
      <w:bookmarkStart w:id="114" w:name="_Toc11098"/>
      <w:r>
        <w:rPr>
          <w:rFonts w:hint="eastAsia" w:ascii="宋体" w:hAnsi="宋体" w:eastAsia="宋体" w:cs="宋体"/>
          <w:sz w:val="28"/>
          <w:szCs w:val="28"/>
          <w:lang w:val="en-US" w:eastAsia="zh-CN"/>
        </w:rPr>
        <w:t>第一节 促进传统产业转型升级</w:t>
      </w:r>
      <w:bookmarkEnd w:id="108"/>
      <w:bookmarkEnd w:id="109"/>
      <w:bookmarkEnd w:id="110"/>
    </w:p>
    <w:bookmarkEnd w:id="111"/>
    <w:bookmarkEnd w:id="112"/>
    <w:bookmarkEnd w:id="113"/>
    <w:p w14:paraId="7A2B8A8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US" w:eastAsia="zh-CN"/>
        </w:rPr>
        <w:t>依托资源禀赋和比较优势，</w:t>
      </w:r>
      <w:r>
        <w:rPr>
          <w:rFonts w:hint="eastAsia" w:ascii="仿宋" w:hAnsi="仿宋" w:eastAsia="仿宋" w:cs="仿宋"/>
          <w:snapToGrid w:val="0"/>
          <w:spacing w:val="0"/>
          <w:kern w:val="0"/>
          <w:sz w:val="24"/>
          <w:szCs w:val="24"/>
          <w:lang w:val="en-US" w:eastAsia="zh-CN"/>
        </w:rPr>
        <w:t>整合资源、产业和科技优势，大力发展稀土初加工、铌钪综合利用、萤石综合利用、富钾板岩综合利用产业，实现矿产资源综合利用与保护协同发展</w:t>
      </w:r>
      <w:bookmarkStart w:id="115" w:name="_Toc14093"/>
      <w:bookmarkStart w:id="116" w:name="_Toc12533"/>
      <w:bookmarkStart w:id="117" w:name="_Toc14020"/>
      <w:r>
        <w:rPr>
          <w:rFonts w:hint="eastAsia" w:ascii="仿宋" w:hAnsi="仿宋" w:eastAsia="仿宋" w:cs="仿宋"/>
          <w:sz w:val="24"/>
          <w:szCs w:val="24"/>
          <w:lang w:val="en-US" w:eastAsia="zh-CN"/>
        </w:rPr>
        <w:t>。</w:t>
      </w:r>
      <w:bookmarkEnd w:id="115"/>
      <w:bookmarkEnd w:id="116"/>
      <w:bookmarkEnd w:id="117"/>
      <w:r>
        <w:rPr>
          <w:rFonts w:hint="eastAsia" w:ascii="仿宋" w:hAnsi="仿宋" w:eastAsia="仿宋" w:cs="仿宋"/>
          <w:b w:val="0"/>
          <w:bCs w:val="0"/>
          <w:sz w:val="24"/>
          <w:szCs w:val="24"/>
          <w:highlight w:val="none"/>
          <w:lang w:val="en-US" w:eastAsia="zh-CN"/>
        </w:rPr>
        <w:t>坚持以“生态优先、绿色发展”为导向，以产业链延伸为重点，</w:t>
      </w:r>
      <w:r>
        <w:rPr>
          <w:rFonts w:hint="eastAsia" w:ascii="仿宋" w:hAnsi="仿宋" w:eastAsia="仿宋" w:cs="仿宋"/>
          <w:sz w:val="24"/>
          <w:szCs w:val="24"/>
          <w:lang w:val="en-US" w:eastAsia="zh-CN"/>
        </w:rPr>
        <w:t>引导矿石采选企业逐步向资源综合利用、资源就地转化转型，</w:t>
      </w:r>
      <w:r>
        <w:rPr>
          <w:rFonts w:hint="eastAsia" w:ascii="仿宋" w:hAnsi="仿宋" w:eastAsia="仿宋" w:cs="仿宋"/>
          <w:b w:val="0"/>
          <w:bCs w:val="0"/>
          <w:sz w:val="24"/>
          <w:szCs w:val="24"/>
          <w:highlight w:val="none"/>
          <w:lang w:val="en-US" w:eastAsia="zh-CN"/>
        </w:rPr>
        <w:t>构建尾矿及资源综合利用产业生态圈，促进产业绿色循环可持续发展。</w:t>
      </w:r>
    </w:p>
    <w:p w14:paraId="5E1D85E2">
      <w:pPr>
        <w:pStyle w:val="24"/>
        <w:pageBreakBefore w:val="0"/>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r>
        <w:rPr>
          <w:rFonts w:hint="eastAsia" w:ascii="仿宋" w:hAnsi="仿宋" w:eastAsia="仿宋" w:cs="仿宋"/>
          <w:snapToGrid w:val="0"/>
          <w:spacing w:val="0"/>
          <w:kern w:val="0"/>
          <w:sz w:val="24"/>
          <w:szCs w:val="24"/>
          <w:lang w:val="en-US" w:eastAsia="zh-CN"/>
        </w:rPr>
        <w:t>加快引导产业由资源消耗型向科技引领型转变，培育高新技术企业，壮大企业发展规模，力争全区规模以上企业数量取得新突破。积极打造知名矿产品品牌，力争将我区优势矿产品打入全国高端供应链体系。到2025年，将白云矿区建设成为国家级矿产资源综合利用示范基地、包头市重要新型材料产业基地。</w:t>
      </w:r>
    </w:p>
    <w:p w14:paraId="1F1559A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20" w:lineRule="exact"/>
        <w:ind w:firstLine="482"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——稀土资源初级加工产业</w:t>
      </w:r>
      <w:r>
        <w:rPr>
          <w:rFonts w:hint="eastAsia" w:ascii="仿宋" w:hAnsi="仿宋" w:eastAsia="仿宋" w:cs="仿宋"/>
          <w:b w:val="0"/>
          <w:bCs w:val="0"/>
          <w:sz w:val="24"/>
          <w:szCs w:val="24"/>
          <w:highlight w:val="none"/>
          <w:lang w:val="en-US" w:eastAsia="zh-CN"/>
        </w:rPr>
        <w:t>。承接包钢前端产业、包头市稀土初级加工产业向白云矿区转移，打造包头市稀土资源初级加工基地，</w:t>
      </w:r>
      <w:r>
        <w:rPr>
          <w:rFonts w:hint="eastAsia" w:ascii="仿宋" w:hAnsi="仿宋" w:eastAsia="仿宋" w:cs="仿宋"/>
          <w:b w:val="0"/>
          <w:bCs w:val="0"/>
          <w:sz w:val="24"/>
          <w:szCs w:val="24"/>
          <w:lang w:val="en-US" w:eastAsia="zh-CN"/>
        </w:rPr>
        <w:t>实现</w:t>
      </w:r>
      <w:r>
        <w:rPr>
          <w:rFonts w:hint="eastAsia" w:ascii="仿宋" w:hAnsi="仿宋" w:eastAsia="仿宋" w:cs="仿宋"/>
          <w:b w:val="0"/>
          <w:bCs w:val="0"/>
          <w:sz w:val="24"/>
          <w:szCs w:val="24"/>
        </w:rPr>
        <w:t>稀土资源就地转化</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highlight w:val="none"/>
          <w:lang w:val="en-US" w:eastAsia="zh-CN"/>
        </w:rPr>
        <w:t>重点发展稀土原材料和稀土新材料及应用配套产业，实现稀土、铁、铌等共伴生金属的高效分离；积极培植稀土新材料产业，重点</w:t>
      </w:r>
      <w:r>
        <w:rPr>
          <w:rFonts w:hint="eastAsia" w:ascii="仿宋" w:hAnsi="仿宋" w:eastAsia="仿宋" w:cs="仿宋"/>
          <w:sz w:val="24"/>
          <w:szCs w:val="24"/>
        </w:rPr>
        <w:t>引进稀土催化材料、稀土发光材料、</w:t>
      </w:r>
      <w:r>
        <w:rPr>
          <w:rFonts w:hint="eastAsia" w:ascii="仿宋" w:hAnsi="仿宋" w:eastAsia="仿宋" w:cs="仿宋"/>
          <w:sz w:val="24"/>
          <w:szCs w:val="24"/>
          <w:lang w:eastAsia="zh-CN"/>
        </w:rPr>
        <w:t>稀土</w:t>
      </w:r>
      <w:r>
        <w:rPr>
          <w:rFonts w:hint="eastAsia" w:ascii="仿宋" w:hAnsi="仿宋" w:eastAsia="仿宋" w:cs="仿宋"/>
          <w:sz w:val="24"/>
          <w:szCs w:val="24"/>
        </w:rPr>
        <w:t>抛光</w:t>
      </w:r>
      <w:r>
        <w:rPr>
          <w:rFonts w:hint="eastAsia" w:ascii="仿宋" w:hAnsi="仿宋" w:eastAsia="仿宋" w:cs="仿宋"/>
          <w:sz w:val="24"/>
          <w:szCs w:val="24"/>
          <w:lang w:eastAsia="zh-CN"/>
        </w:rPr>
        <w:t>材料</w:t>
      </w:r>
      <w:r>
        <w:rPr>
          <w:rFonts w:hint="eastAsia" w:ascii="仿宋" w:hAnsi="仿宋" w:eastAsia="仿宋" w:cs="仿宋"/>
          <w:sz w:val="24"/>
          <w:szCs w:val="24"/>
        </w:rPr>
        <w:t>、稀土</w:t>
      </w:r>
      <w:r>
        <w:rPr>
          <w:rFonts w:hint="eastAsia" w:ascii="仿宋" w:hAnsi="仿宋" w:eastAsia="仿宋" w:cs="仿宋"/>
          <w:sz w:val="24"/>
          <w:szCs w:val="24"/>
          <w:lang w:eastAsia="zh-CN"/>
        </w:rPr>
        <w:t>复合新</w:t>
      </w:r>
      <w:r>
        <w:rPr>
          <w:rFonts w:hint="eastAsia" w:ascii="仿宋" w:hAnsi="仿宋" w:eastAsia="仿宋" w:cs="仿宋"/>
          <w:sz w:val="24"/>
          <w:szCs w:val="24"/>
        </w:rPr>
        <w:t>材料</w:t>
      </w:r>
      <w:r>
        <w:rPr>
          <w:rFonts w:hint="eastAsia" w:ascii="仿宋" w:hAnsi="仿宋" w:eastAsia="仿宋" w:cs="仿宋"/>
          <w:sz w:val="24"/>
          <w:szCs w:val="24"/>
          <w:lang w:eastAsia="zh-CN"/>
        </w:rPr>
        <w:t>等生产项目，</w:t>
      </w:r>
      <w:r>
        <w:rPr>
          <w:rFonts w:hint="eastAsia" w:ascii="仿宋" w:hAnsi="仿宋" w:eastAsia="仿宋" w:cs="仿宋"/>
          <w:b w:val="0"/>
          <w:bCs w:val="0"/>
          <w:sz w:val="24"/>
          <w:szCs w:val="24"/>
          <w:highlight w:val="none"/>
          <w:lang w:val="en-US" w:eastAsia="zh-CN"/>
        </w:rPr>
        <w:t>大力发展稀土氧化物深加工产业，加快资源优势向产业优势、经济优势转化。</w:t>
      </w:r>
    </w:p>
    <w:p w14:paraId="7C43B4F6">
      <w:pPr>
        <w:keepNext w:val="0"/>
        <w:keepLines w:val="0"/>
        <w:pageBreakBefore w:val="0"/>
        <w:kinsoku/>
        <w:wordWrap/>
        <w:overflowPunct/>
        <w:topLinePunct w:val="0"/>
        <w:autoSpaceDE/>
        <w:autoSpaceDN/>
        <w:bidi w:val="0"/>
        <w:adjustRightInd/>
        <w:snapToGrid/>
        <w:spacing w:line="520" w:lineRule="exact"/>
        <w:ind w:firstLine="560"/>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——萤石资源综合利用产业。</w:t>
      </w:r>
      <w:r>
        <w:rPr>
          <w:rFonts w:hint="eastAsia" w:ascii="仿宋" w:hAnsi="仿宋" w:eastAsia="仿宋" w:cs="仿宋"/>
          <w:b w:val="0"/>
          <w:bCs w:val="0"/>
          <w:sz w:val="24"/>
          <w:szCs w:val="24"/>
        </w:rPr>
        <w:t>充分利用</w:t>
      </w:r>
      <w:r>
        <w:rPr>
          <w:rFonts w:hint="eastAsia" w:ascii="仿宋" w:hAnsi="仿宋" w:eastAsia="仿宋" w:cs="仿宋"/>
          <w:b w:val="0"/>
          <w:bCs w:val="0"/>
          <w:sz w:val="24"/>
          <w:szCs w:val="24"/>
          <w:lang w:val="en-US" w:eastAsia="zh-CN"/>
        </w:rPr>
        <w:t>当地丰富</w:t>
      </w:r>
      <w:r>
        <w:rPr>
          <w:rFonts w:hint="eastAsia" w:ascii="仿宋" w:hAnsi="仿宋" w:eastAsia="仿宋" w:cs="仿宋"/>
          <w:b w:val="0"/>
          <w:bCs w:val="0"/>
          <w:sz w:val="24"/>
          <w:szCs w:val="24"/>
        </w:rPr>
        <w:t>的萤石精粉及萤石矿资源，</w:t>
      </w:r>
      <w:r>
        <w:rPr>
          <w:rFonts w:hint="eastAsia" w:ascii="仿宋" w:hAnsi="仿宋" w:eastAsia="仿宋" w:cs="仿宋"/>
          <w:b w:val="0"/>
          <w:bCs w:val="0"/>
          <w:sz w:val="24"/>
          <w:szCs w:val="24"/>
          <w:lang w:eastAsia="zh-CN"/>
        </w:rPr>
        <w:t>加大萤石资源</w:t>
      </w:r>
      <w:r>
        <w:rPr>
          <w:rFonts w:hint="eastAsia" w:ascii="仿宋" w:hAnsi="仿宋" w:eastAsia="仿宋" w:cs="仿宋"/>
          <w:b w:val="0"/>
          <w:bCs w:val="0"/>
          <w:sz w:val="24"/>
          <w:szCs w:val="24"/>
        </w:rPr>
        <w:t>的综合利用，延伸下游产品，</w:t>
      </w:r>
      <w:r>
        <w:rPr>
          <w:rFonts w:hint="eastAsia" w:ascii="仿宋" w:hAnsi="仿宋" w:eastAsia="仿宋" w:cs="仿宋"/>
          <w:b w:val="0"/>
          <w:bCs w:val="0"/>
          <w:sz w:val="24"/>
          <w:szCs w:val="24"/>
          <w:lang w:val="en-US" w:eastAsia="zh-CN"/>
        </w:rPr>
        <w:t>建设</w:t>
      </w:r>
      <w:r>
        <w:rPr>
          <w:rFonts w:hint="eastAsia" w:ascii="仿宋" w:hAnsi="仿宋" w:eastAsia="仿宋" w:cs="仿宋"/>
          <w:b w:val="0"/>
          <w:bCs w:val="0"/>
          <w:sz w:val="24"/>
          <w:szCs w:val="24"/>
        </w:rPr>
        <w:t>完</w:t>
      </w:r>
      <w:r>
        <w:rPr>
          <w:rFonts w:hint="eastAsia" w:ascii="仿宋" w:hAnsi="仿宋" w:eastAsia="仿宋" w:cs="仿宋"/>
          <w:b w:val="0"/>
          <w:bCs w:val="0"/>
          <w:sz w:val="24"/>
          <w:szCs w:val="24"/>
          <w:lang w:eastAsia="zh-CN"/>
        </w:rPr>
        <w:t>整</w:t>
      </w:r>
      <w:r>
        <w:rPr>
          <w:rFonts w:hint="eastAsia" w:ascii="仿宋" w:hAnsi="仿宋" w:eastAsia="仿宋" w:cs="仿宋"/>
          <w:b w:val="0"/>
          <w:bCs w:val="0"/>
          <w:sz w:val="24"/>
          <w:szCs w:val="24"/>
        </w:rPr>
        <w:t>产业链条，提高综合竞争力和经济效益</w:t>
      </w:r>
      <w:r>
        <w:rPr>
          <w:rFonts w:hint="eastAsia" w:ascii="仿宋" w:hAnsi="仿宋" w:eastAsia="仿宋" w:cs="仿宋"/>
          <w:b w:val="0"/>
          <w:bCs w:val="0"/>
          <w:sz w:val="24"/>
          <w:szCs w:val="24"/>
          <w:lang w:eastAsia="zh-CN"/>
        </w:rPr>
        <w:t>。以</w:t>
      </w:r>
      <w:r>
        <w:rPr>
          <w:rFonts w:hint="eastAsia" w:ascii="仿宋" w:hAnsi="仿宋" w:eastAsia="仿宋" w:cs="仿宋"/>
          <w:b w:val="0"/>
          <w:bCs w:val="0"/>
          <w:sz w:val="24"/>
          <w:szCs w:val="24"/>
        </w:rPr>
        <w:t>包钢白云宝山公司</w:t>
      </w:r>
      <w:r>
        <w:rPr>
          <w:rFonts w:hint="eastAsia" w:ascii="仿宋" w:hAnsi="仿宋" w:eastAsia="仿宋" w:cs="仿宋"/>
          <w:b w:val="0"/>
          <w:bCs w:val="0"/>
          <w:sz w:val="24"/>
          <w:szCs w:val="24"/>
          <w:lang w:eastAsia="zh-CN"/>
        </w:rPr>
        <w:t>为龙头，</w:t>
      </w:r>
      <w:r>
        <w:rPr>
          <w:rFonts w:hint="eastAsia" w:ascii="仿宋" w:hAnsi="仿宋" w:eastAsia="仿宋" w:cs="仿宋"/>
          <w:b w:val="0"/>
          <w:bCs w:val="0"/>
          <w:color w:val="000000" w:themeColor="text1"/>
          <w:sz w:val="24"/>
          <w:szCs w:val="24"/>
          <w14:textFill>
            <w14:solidFill>
              <w14:schemeClr w14:val="tx1"/>
            </w14:solidFill>
          </w14:textFill>
        </w:rPr>
        <w:t>打造萤石</w:t>
      </w:r>
      <w:r>
        <w:rPr>
          <w:rFonts w:hint="eastAsia" w:ascii="仿宋" w:hAnsi="仿宋" w:eastAsia="仿宋" w:cs="仿宋"/>
          <w:b w:val="0"/>
          <w:bCs w:val="0"/>
          <w:color w:val="000000" w:themeColor="text1"/>
          <w:sz w:val="24"/>
          <w:szCs w:val="24"/>
          <w:lang w:eastAsia="zh-CN"/>
          <w14:textFill>
            <w14:solidFill>
              <w14:schemeClr w14:val="tx1"/>
            </w14:solidFill>
          </w14:textFill>
        </w:rPr>
        <w:t>选矿产业基地和萤石</w:t>
      </w:r>
      <w:r>
        <w:rPr>
          <w:rFonts w:hint="eastAsia" w:ascii="仿宋" w:hAnsi="仿宋" w:eastAsia="仿宋" w:cs="仿宋"/>
          <w:b w:val="0"/>
          <w:bCs w:val="0"/>
          <w:color w:val="000000" w:themeColor="text1"/>
          <w:sz w:val="24"/>
          <w:szCs w:val="24"/>
          <w14:textFill>
            <w14:solidFill>
              <w14:schemeClr w14:val="tx1"/>
            </w14:solidFill>
          </w14:textFill>
        </w:rPr>
        <w:t>资源综合利用及深加工</w:t>
      </w:r>
      <w:r>
        <w:rPr>
          <w:rFonts w:hint="eastAsia" w:ascii="仿宋" w:hAnsi="仿宋" w:eastAsia="仿宋" w:cs="仿宋"/>
          <w:b w:val="0"/>
          <w:bCs w:val="0"/>
          <w:color w:val="000000" w:themeColor="text1"/>
          <w:sz w:val="24"/>
          <w:szCs w:val="24"/>
          <w:lang w:eastAsia="zh-CN"/>
          <w14:textFill>
            <w14:solidFill>
              <w14:schemeClr w14:val="tx1"/>
            </w14:solidFill>
          </w14:textFill>
        </w:rPr>
        <w:t>基地。</w:t>
      </w:r>
    </w:p>
    <w:p w14:paraId="39D0F48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仿宋" w:hAnsi="仿宋" w:eastAsia="仿宋" w:cs="仿宋"/>
          <w:color w:val="000000"/>
          <w:kern w:val="0"/>
          <w:sz w:val="24"/>
          <w:szCs w:val="24"/>
          <w:lang w:val="en-US" w:eastAsia="zh-CN"/>
        </w:rPr>
      </w:pPr>
      <w:r>
        <w:rPr>
          <w:rFonts w:hint="eastAsia" w:ascii="仿宋" w:hAnsi="仿宋" w:eastAsia="仿宋" w:cs="仿宋"/>
          <w:b/>
          <w:bCs/>
          <w:sz w:val="24"/>
          <w:szCs w:val="24"/>
          <w:lang w:val="en-US" w:eastAsia="zh-CN"/>
        </w:rPr>
        <w:t>——富钾板岩资源综合利用产业。</w:t>
      </w:r>
      <w:r>
        <w:rPr>
          <w:rFonts w:hint="eastAsia" w:ascii="仿宋" w:hAnsi="仿宋" w:eastAsia="仿宋" w:cs="仿宋"/>
          <w:b w:val="0"/>
          <w:bCs w:val="0"/>
          <w:sz w:val="24"/>
          <w:szCs w:val="24"/>
        </w:rPr>
        <w:t>加强与包钢及</w:t>
      </w:r>
      <w:r>
        <w:rPr>
          <w:rFonts w:hint="eastAsia" w:ascii="仿宋" w:hAnsi="仿宋" w:eastAsia="仿宋" w:cs="仿宋"/>
          <w:b w:val="0"/>
          <w:bCs w:val="0"/>
          <w:sz w:val="24"/>
          <w:szCs w:val="24"/>
          <w:lang w:eastAsia="zh-CN"/>
        </w:rPr>
        <w:t>各</w:t>
      </w:r>
      <w:r>
        <w:rPr>
          <w:rFonts w:hint="eastAsia" w:ascii="仿宋" w:hAnsi="仿宋" w:eastAsia="仿宋" w:cs="仿宋"/>
          <w:b w:val="0"/>
          <w:bCs w:val="0"/>
          <w:sz w:val="24"/>
          <w:szCs w:val="24"/>
        </w:rPr>
        <w:t>科研院所合作，积极引进富钾板岩综合</w:t>
      </w:r>
      <w:r>
        <w:rPr>
          <w:rFonts w:hint="eastAsia" w:ascii="仿宋" w:hAnsi="仿宋" w:eastAsia="仿宋" w:cs="仿宋"/>
          <w:b w:val="0"/>
          <w:bCs w:val="0"/>
          <w:sz w:val="24"/>
          <w:szCs w:val="24"/>
          <w:lang w:eastAsia="zh-CN"/>
        </w:rPr>
        <w:t>开发</w:t>
      </w:r>
      <w:r>
        <w:rPr>
          <w:rFonts w:hint="eastAsia" w:ascii="仿宋" w:hAnsi="仿宋" w:eastAsia="仿宋" w:cs="仿宋"/>
          <w:b w:val="0"/>
          <w:bCs w:val="0"/>
          <w:sz w:val="24"/>
          <w:szCs w:val="24"/>
        </w:rPr>
        <w:t>项目，加快富钾板岩</w:t>
      </w:r>
      <w:r>
        <w:rPr>
          <w:rFonts w:hint="eastAsia" w:ascii="仿宋" w:hAnsi="仿宋" w:eastAsia="仿宋" w:cs="仿宋"/>
          <w:b w:val="0"/>
          <w:bCs w:val="0"/>
          <w:sz w:val="24"/>
          <w:szCs w:val="24"/>
          <w:lang w:val="en-US" w:eastAsia="zh-CN"/>
        </w:rPr>
        <w:t>资源开发</w:t>
      </w:r>
      <w:r>
        <w:rPr>
          <w:rFonts w:hint="eastAsia" w:ascii="仿宋" w:hAnsi="仿宋" w:eastAsia="仿宋" w:cs="仿宋"/>
          <w:b w:val="0"/>
          <w:bCs w:val="0"/>
          <w:sz w:val="24"/>
          <w:szCs w:val="24"/>
        </w:rPr>
        <w:t>与利用</w:t>
      </w:r>
      <w:r>
        <w:rPr>
          <w:rFonts w:hint="eastAsia" w:ascii="仿宋" w:hAnsi="仿宋" w:eastAsia="仿宋" w:cs="仿宋"/>
          <w:b w:val="0"/>
          <w:bCs w:val="0"/>
          <w:sz w:val="24"/>
          <w:szCs w:val="24"/>
          <w:lang w:eastAsia="zh-CN"/>
        </w:rPr>
        <w:t>；</w:t>
      </w:r>
      <w:r>
        <w:rPr>
          <w:rFonts w:hint="eastAsia" w:ascii="仿宋" w:hAnsi="仿宋" w:eastAsia="仿宋" w:cs="仿宋"/>
          <w:b w:val="0"/>
          <w:bCs w:val="0"/>
          <w:color w:val="000000" w:themeColor="text1"/>
          <w:sz w:val="24"/>
          <w:szCs w:val="24"/>
          <w14:textFill>
            <w14:solidFill>
              <w14:schemeClr w14:val="tx1"/>
            </w14:solidFill>
          </w14:textFill>
        </w:rPr>
        <w:t>加快白云鄂博排土场资源综合利用，</w:t>
      </w:r>
      <w:r>
        <w:rPr>
          <w:rFonts w:hint="eastAsia" w:ascii="仿宋" w:hAnsi="仿宋" w:eastAsia="仿宋" w:cs="仿宋"/>
          <w:b w:val="0"/>
          <w:bCs w:val="0"/>
          <w:color w:val="000000" w:themeColor="text1"/>
          <w:sz w:val="24"/>
          <w:szCs w:val="24"/>
          <w:lang w:eastAsia="zh-CN"/>
          <w14:textFill>
            <w14:solidFill>
              <w14:schemeClr w14:val="tx1"/>
            </w14:solidFill>
          </w14:textFill>
        </w:rPr>
        <w:t>重点发展</w:t>
      </w:r>
      <w:r>
        <w:rPr>
          <w:rFonts w:hint="eastAsia" w:ascii="仿宋" w:hAnsi="仿宋" w:eastAsia="仿宋" w:cs="仿宋"/>
          <w:b w:val="0"/>
          <w:bCs w:val="0"/>
          <w:color w:val="000000" w:themeColor="text1"/>
          <w:sz w:val="24"/>
          <w:szCs w:val="24"/>
          <w14:textFill>
            <w14:solidFill>
              <w14:schemeClr w14:val="tx1"/>
            </w14:solidFill>
          </w14:textFill>
        </w:rPr>
        <w:t>钾肥和轻质建材产业</w:t>
      </w:r>
      <w:r>
        <w:rPr>
          <w:rFonts w:hint="eastAsia" w:ascii="仿宋" w:hAnsi="仿宋" w:eastAsia="仿宋" w:cs="仿宋"/>
          <w:b w:val="0"/>
          <w:bCs w:val="0"/>
          <w:color w:val="000000" w:themeColor="text1"/>
          <w:sz w:val="24"/>
          <w:szCs w:val="24"/>
          <w:lang w:eastAsia="zh-CN"/>
          <w14:textFill>
            <w14:solidFill>
              <w14:schemeClr w14:val="tx1"/>
            </w14:solidFill>
          </w14:textFill>
        </w:rPr>
        <w:t>，构建</w:t>
      </w:r>
      <w:r>
        <w:rPr>
          <w:rFonts w:hint="eastAsia" w:ascii="仿宋" w:hAnsi="仿宋" w:eastAsia="仿宋" w:cs="仿宋"/>
          <w:b w:val="0"/>
          <w:bCs w:val="0"/>
          <w:color w:val="000000" w:themeColor="text1"/>
          <w:sz w:val="24"/>
          <w:szCs w:val="24"/>
          <w14:textFill>
            <w14:solidFill>
              <w14:schemeClr w14:val="tx1"/>
            </w14:solidFill>
          </w14:textFill>
        </w:rPr>
        <w:t>富钾板岩制取多元钾肥、碳酸钾、白炭黑等产业链，</w:t>
      </w:r>
      <w:r>
        <w:rPr>
          <w:rFonts w:hint="eastAsia" w:ascii="仿宋" w:hAnsi="仿宋" w:eastAsia="仿宋" w:cs="仿宋"/>
          <w:b w:val="0"/>
          <w:bCs w:val="0"/>
          <w:color w:val="000000" w:themeColor="text1"/>
          <w:sz w:val="24"/>
          <w:szCs w:val="24"/>
          <w:lang w:val="en-US" w:eastAsia="zh-CN"/>
          <w14:textFill>
            <w14:solidFill>
              <w14:schemeClr w14:val="tx1"/>
            </w14:solidFill>
          </w14:textFill>
        </w:rPr>
        <w:t>稳定形成</w:t>
      </w:r>
      <w:r>
        <w:rPr>
          <w:rFonts w:hint="eastAsia" w:ascii="仿宋" w:hAnsi="仿宋" w:eastAsia="仿宋" w:cs="仿宋"/>
          <w:b w:val="0"/>
          <w:bCs w:val="0"/>
          <w:color w:val="000000" w:themeColor="text1"/>
          <w:sz w:val="24"/>
          <w:szCs w:val="24"/>
          <w14:textFill>
            <w14:solidFill>
              <w14:schemeClr w14:val="tx1"/>
            </w14:solidFill>
          </w14:textFill>
        </w:rPr>
        <w:t>年处理富钾板岩200万吨</w:t>
      </w:r>
      <w:r>
        <w:rPr>
          <w:rFonts w:hint="eastAsia" w:ascii="仿宋" w:hAnsi="仿宋" w:eastAsia="仿宋" w:cs="仿宋"/>
          <w:b w:val="0"/>
          <w:bCs w:val="0"/>
          <w:color w:val="000000" w:themeColor="text1"/>
          <w:sz w:val="24"/>
          <w:szCs w:val="24"/>
          <w:lang w:eastAsia="zh-CN"/>
          <w14:textFill>
            <w14:solidFill>
              <w14:schemeClr w14:val="tx1"/>
            </w14:solidFill>
          </w14:textFill>
        </w:rPr>
        <w:t>的</w:t>
      </w:r>
      <w:r>
        <w:rPr>
          <w:rFonts w:hint="eastAsia" w:ascii="仿宋" w:hAnsi="仿宋" w:eastAsia="仿宋" w:cs="仿宋"/>
          <w:b w:val="0"/>
          <w:bCs w:val="0"/>
          <w:color w:val="000000" w:themeColor="text1"/>
          <w:sz w:val="24"/>
          <w:szCs w:val="24"/>
          <w:lang w:val="en-US" w:eastAsia="zh-CN"/>
          <w14:textFill>
            <w14:solidFill>
              <w14:schemeClr w14:val="tx1"/>
            </w14:solidFill>
          </w14:textFill>
        </w:rPr>
        <w:t>生产能力</w:t>
      </w:r>
      <w:r>
        <w:rPr>
          <w:rFonts w:hint="eastAsia" w:ascii="仿宋" w:hAnsi="仿宋" w:eastAsia="仿宋" w:cs="仿宋"/>
          <w:b w:val="0"/>
          <w:bCs w:val="0"/>
          <w:color w:val="000000" w:themeColor="text1"/>
          <w:sz w:val="24"/>
          <w:szCs w:val="24"/>
          <w14:textFill>
            <w14:solidFill>
              <w14:schemeClr w14:val="tx1"/>
            </w14:solidFill>
          </w14:textFill>
        </w:rPr>
        <w:t>，实现富钾板岩综合利用。</w:t>
      </w:r>
    </w:p>
    <w:p w14:paraId="77887ED0">
      <w:pPr>
        <w:keepNext w:val="0"/>
        <w:keepLines w:val="0"/>
        <w:pageBreakBefore w:val="0"/>
        <w:widowControl w:val="0"/>
        <w:kinsoku/>
        <w:wordWrap/>
        <w:overflowPunct/>
        <w:topLinePunct w:val="0"/>
        <w:autoSpaceDE/>
        <w:autoSpaceDN/>
        <w:bidi w:val="0"/>
        <w:adjustRightInd/>
        <w:snapToGrid/>
        <w:spacing w:line="520" w:lineRule="exact"/>
        <w:ind w:firstLine="442" w:firstLineChars="200"/>
        <w:textAlignment w:val="auto"/>
        <w:outlineLvl w:val="9"/>
        <w:rPr>
          <w:rFonts w:hint="eastAsia" w:ascii="仿宋" w:hAnsi="仿宋" w:eastAsia="仿宋" w:cs="仿宋"/>
          <w:sz w:val="24"/>
          <w:szCs w:val="24"/>
          <w:lang w:eastAsia="zh-CN"/>
        </w:rPr>
      </w:pPr>
      <w:r>
        <w:rPr>
          <w:rFonts w:hint="eastAsia" w:ascii="仿宋" w:hAnsi="仿宋" w:eastAsia="仿宋" w:cs="仿宋"/>
          <w:b/>
          <w:bCs/>
          <w:spacing w:val="-10"/>
          <w:sz w:val="24"/>
          <w:szCs w:val="24"/>
          <w:lang w:eastAsia="zh-CN"/>
        </w:rPr>
        <w:t>——</w:t>
      </w:r>
      <w:r>
        <w:rPr>
          <w:rFonts w:hint="eastAsia" w:ascii="仿宋" w:hAnsi="仿宋" w:eastAsia="仿宋" w:cs="仿宋"/>
          <w:b/>
          <w:bCs/>
          <w:spacing w:val="-10"/>
          <w:sz w:val="24"/>
          <w:szCs w:val="24"/>
        </w:rPr>
        <w:t>尾矿</w:t>
      </w:r>
      <w:r>
        <w:rPr>
          <w:rFonts w:hint="eastAsia" w:ascii="仿宋" w:hAnsi="仿宋" w:eastAsia="仿宋" w:cs="仿宋"/>
          <w:b/>
          <w:bCs/>
          <w:spacing w:val="-10"/>
          <w:sz w:val="24"/>
          <w:szCs w:val="24"/>
          <w:lang w:val="en-US" w:eastAsia="zh-CN"/>
        </w:rPr>
        <w:t>资源</w:t>
      </w:r>
      <w:r>
        <w:rPr>
          <w:rFonts w:hint="eastAsia" w:ascii="仿宋" w:hAnsi="仿宋" w:eastAsia="仿宋" w:cs="仿宋"/>
          <w:b/>
          <w:bCs/>
          <w:spacing w:val="-10"/>
          <w:sz w:val="24"/>
          <w:szCs w:val="24"/>
        </w:rPr>
        <w:t>综合利用</w:t>
      </w:r>
      <w:r>
        <w:rPr>
          <w:rFonts w:hint="eastAsia" w:ascii="仿宋" w:hAnsi="仿宋" w:eastAsia="仿宋" w:cs="仿宋"/>
          <w:b/>
          <w:bCs/>
          <w:spacing w:val="-10"/>
          <w:sz w:val="24"/>
          <w:szCs w:val="24"/>
          <w:lang w:val="en-US" w:eastAsia="zh-CN"/>
        </w:rPr>
        <w:t>产业。</w:t>
      </w:r>
      <w:r>
        <w:rPr>
          <w:rFonts w:hint="eastAsia" w:ascii="仿宋" w:hAnsi="仿宋" w:eastAsia="仿宋" w:cs="仿宋"/>
          <w:sz w:val="24"/>
          <w:szCs w:val="24"/>
        </w:rPr>
        <w:t>依托白云鄂博</w:t>
      </w:r>
      <w:r>
        <w:rPr>
          <w:rFonts w:hint="eastAsia" w:ascii="仿宋" w:hAnsi="仿宋" w:eastAsia="仿宋" w:cs="仿宋"/>
          <w:sz w:val="24"/>
          <w:szCs w:val="24"/>
          <w:lang w:eastAsia="zh-CN"/>
        </w:rPr>
        <w:t>矿</w:t>
      </w:r>
      <w:r>
        <w:rPr>
          <w:rFonts w:hint="eastAsia" w:ascii="仿宋" w:hAnsi="仿宋" w:eastAsia="仿宋" w:cs="仿宋"/>
          <w:sz w:val="24"/>
          <w:szCs w:val="24"/>
        </w:rPr>
        <w:t>多金属综合利用联合研究院及相关科研院校，加</w:t>
      </w:r>
      <w:r>
        <w:rPr>
          <w:rFonts w:hint="eastAsia" w:ascii="仿宋" w:hAnsi="仿宋" w:eastAsia="仿宋" w:cs="仿宋"/>
          <w:sz w:val="24"/>
          <w:szCs w:val="24"/>
          <w:lang w:val="en-US" w:eastAsia="zh-CN"/>
        </w:rPr>
        <w:t>大</w:t>
      </w:r>
      <w:r>
        <w:rPr>
          <w:rFonts w:hint="eastAsia" w:ascii="仿宋" w:hAnsi="仿宋" w:eastAsia="仿宋" w:cs="仿宋"/>
          <w:sz w:val="24"/>
          <w:szCs w:val="24"/>
        </w:rPr>
        <w:t>尾矿资源综合利用</w:t>
      </w:r>
      <w:r>
        <w:rPr>
          <w:rFonts w:hint="eastAsia" w:ascii="仿宋" w:hAnsi="仿宋" w:eastAsia="仿宋" w:cs="仿宋"/>
          <w:sz w:val="24"/>
          <w:szCs w:val="24"/>
          <w:lang w:val="en-US" w:eastAsia="zh-CN"/>
        </w:rPr>
        <w:t>研发力度</w:t>
      </w:r>
      <w:r>
        <w:rPr>
          <w:rFonts w:hint="eastAsia" w:ascii="仿宋" w:hAnsi="仿宋" w:eastAsia="仿宋" w:cs="仿宋"/>
          <w:sz w:val="24"/>
          <w:szCs w:val="24"/>
        </w:rPr>
        <w:t>，与稀土矿资源综合利用相结合，</w:t>
      </w:r>
      <w:r>
        <w:rPr>
          <w:rFonts w:hint="eastAsia" w:ascii="仿宋" w:hAnsi="仿宋" w:eastAsia="仿宋" w:cs="仿宋"/>
          <w:sz w:val="24"/>
          <w:szCs w:val="24"/>
          <w:lang w:val="en-US" w:eastAsia="zh-CN"/>
        </w:rPr>
        <w:t>发展</w:t>
      </w:r>
      <w:r>
        <w:rPr>
          <w:rFonts w:hint="eastAsia" w:ascii="仿宋" w:hAnsi="仿宋" w:eastAsia="仿宋" w:cs="仿宋"/>
          <w:sz w:val="24"/>
          <w:szCs w:val="24"/>
        </w:rPr>
        <w:t>形成白云鄂博尾</w:t>
      </w:r>
      <w:r>
        <w:rPr>
          <w:rFonts w:hint="eastAsia" w:ascii="仿宋" w:hAnsi="仿宋" w:eastAsia="仿宋" w:cs="仿宋"/>
          <w:sz w:val="24"/>
          <w:szCs w:val="24"/>
          <w:lang w:eastAsia="zh-CN"/>
        </w:rPr>
        <w:t>矿</w:t>
      </w:r>
      <w:r>
        <w:rPr>
          <w:rFonts w:hint="eastAsia" w:ascii="仿宋" w:hAnsi="仿宋" w:eastAsia="仿宋" w:cs="仿宋"/>
          <w:b w:val="0"/>
          <w:bCs w:val="0"/>
          <w:sz w:val="24"/>
          <w:szCs w:val="24"/>
        </w:rPr>
        <w:t>资源综合</w:t>
      </w:r>
      <w:r>
        <w:rPr>
          <w:rFonts w:hint="eastAsia" w:ascii="仿宋" w:hAnsi="仿宋" w:eastAsia="仿宋" w:cs="仿宋"/>
          <w:b w:val="0"/>
          <w:bCs w:val="0"/>
          <w:sz w:val="24"/>
          <w:szCs w:val="24"/>
          <w:lang w:val="en-US" w:eastAsia="zh-CN"/>
        </w:rPr>
        <w:t>开发</w:t>
      </w:r>
      <w:r>
        <w:rPr>
          <w:rFonts w:hint="eastAsia" w:ascii="仿宋" w:hAnsi="仿宋" w:eastAsia="仿宋" w:cs="仿宋"/>
          <w:b w:val="0"/>
          <w:bCs w:val="0"/>
          <w:sz w:val="24"/>
          <w:szCs w:val="24"/>
        </w:rPr>
        <w:t>产业链</w:t>
      </w:r>
      <w:r>
        <w:rPr>
          <w:rFonts w:hint="eastAsia" w:ascii="仿宋" w:hAnsi="仿宋" w:eastAsia="仿宋" w:cs="仿宋"/>
          <w:b w:val="0"/>
          <w:bCs w:val="0"/>
          <w:spacing w:val="-10"/>
          <w:sz w:val="24"/>
          <w:szCs w:val="24"/>
        </w:rPr>
        <w:t>。</w:t>
      </w:r>
      <w:r>
        <w:rPr>
          <w:rFonts w:hint="eastAsia" w:ascii="仿宋" w:hAnsi="仿宋" w:eastAsia="仿宋" w:cs="仿宋"/>
          <w:sz w:val="24"/>
          <w:szCs w:val="24"/>
          <w:lang w:eastAsia="zh-CN"/>
        </w:rPr>
        <w:t>积极承接</w:t>
      </w:r>
      <w:r>
        <w:rPr>
          <w:rFonts w:hint="eastAsia" w:ascii="仿宋" w:hAnsi="仿宋" w:eastAsia="仿宋" w:cs="仿宋"/>
          <w:sz w:val="24"/>
          <w:szCs w:val="24"/>
          <w:lang w:val="en-US" w:eastAsia="zh-CN"/>
        </w:rPr>
        <w:t>传统工业向山北地区产业转移</w:t>
      </w:r>
      <w:r>
        <w:rPr>
          <w:rFonts w:hint="eastAsia" w:ascii="仿宋" w:hAnsi="仿宋" w:eastAsia="仿宋" w:cs="仿宋"/>
          <w:sz w:val="24"/>
          <w:szCs w:val="24"/>
        </w:rPr>
        <w:t>，</w:t>
      </w:r>
      <w:r>
        <w:rPr>
          <w:rFonts w:hint="eastAsia" w:ascii="仿宋" w:hAnsi="仿宋" w:eastAsia="仿宋" w:cs="仿宋"/>
          <w:sz w:val="24"/>
          <w:szCs w:val="24"/>
          <w:lang w:val="en-US" w:eastAsia="zh-CN"/>
        </w:rPr>
        <w:t>重点实施</w:t>
      </w:r>
      <w:r>
        <w:rPr>
          <w:rFonts w:hint="eastAsia" w:ascii="仿宋" w:hAnsi="仿宋" w:eastAsia="仿宋" w:cs="仿宋"/>
          <w:snapToGrid w:val="0"/>
          <w:spacing w:val="0"/>
          <w:kern w:val="0"/>
          <w:sz w:val="24"/>
          <w:szCs w:val="24"/>
          <w:lang w:val="en-US" w:eastAsia="zh-CN"/>
        </w:rPr>
        <w:t>600万吨排土场含铁有用岩干选项目、</w:t>
      </w:r>
      <w:r>
        <w:rPr>
          <w:rFonts w:hint="eastAsia" w:ascii="仿宋" w:hAnsi="仿宋" w:eastAsia="仿宋" w:cs="仿宋"/>
          <w:color w:val="000000"/>
          <w:kern w:val="0"/>
          <w:sz w:val="24"/>
          <w:szCs w:val="24"/>
          <w:lang w:val="en-US" w:eastAsia="zh-CN" w:bidi="ar"/>
        </w:rPr>
        <w:t>白云鄂博矿资源综合利用项目。</w:t>
      </w:r>
      <w:r>
        <w:rPr>
          <w:rFonts w:hint="eastAsia" w:ascii="仿宋" w:hAnsi="仿宋" w:eastAsia="仿宋" w:cs="仿宋"/>
          <w:snapToGrid w:val="0"/>
          <w:spacing w:val="0"/>
          <w:kern w:val="0"/>
          <w:sz w:val="24"/>
          <w:szCs w:val="24"/>
          <w:lang w:val="en-US" w:eastAsia="zh-CN"/>
        </w:rPr>
        <w:t>推进宝山矿业选铌、选钪生产线调试投产，加大对铌、钪资源的前端研发、</w:t>
      </w:r>
      <w:r>
        <w:rPr>
          <w:rFonts w:hint="eastAsia" w:ascii="仿宋" w:hAnsi="仿宋" w:eastAsia="仿宋" w:cs="仿宋"/>
          <w:color w:val="000000"/>
          <w:kern w:val="0"/>
          <w:sz w:val="24"/>
          <w:szCs w:val="24"/>
          <w:lang w:val="en-US" w:eastAsia="zh-CN"/>
        </w:rPr>
        <w:t>综合利用和深度开发力度，</w:t>
      </w:r>
      <w:r>
        <w:rPr>
          <w:rFonts w:hint="eastAsia" w:ascii="仿宋" w:hAnsi="仿宋" w:eastAsia="仿宋" w:cs="仿宋"/>
          <w:color w:val="000000"/>
          <w:kern w:val="0"/>
          <w:sz w:val="24"/>
          <w:szCs w:val="24"/>
          <w:lang w:val="en-US" w:eastAsia="zh-CN" w:bidi="ar"/>
        </w:rPr>
        <w:t>形成铌钛合金、铌氧化物、金属和铌钛合金钢产业链，</w:t>
      </w:r>
      <w:r>
        <w:rPr>
          <w:rFonts w:hint="eastAsia" w:ascii="仿宋" w:hAnsi="仿宋" w:eastAsia="仿宋" w:cs="仿宋"/>
          <w:snapToGrid w:val="0"/>
          <w:spacing w:val="0"/>
          <w:kern w:val="0"/>
          <w:sz w:val="24"/>
          <w:szCs w:val="24"/>
          <w:lang w:val="en-US" w:eastAsia="zh-CN"/>
        </w:rPr>
        <w:t>为发展铌钪新材料产业提供技术和原料保障</w:t>
      </w:r>
      <w:r>
        <w:rPr>
          <w:rFonts w:hint="eastAsia" w:ascii="仿宋" w:hAnsi="仿宋" w:eastAsia="仿宋" w:cs="仿宋"/>
          <w:color w:val="000000"/>
          <w:kern w:val="0"/>
          <w:sz w:val="24"/>
          <w:szCs w:val="24"/>
          <w:lang w:val="en-US" w:eastAsia="zh-CN" w:bidi="ar"/>
        </w:rPr>
        <w:t>。大力</w:t>
      </w:r>
      <w:r>
        <w:rPr>
          <w:rFonts w:hint="eastAsia" w:ascii="仿宋" w:hAnsi="仿宋" w:eastAsia="仿宋" w:cs="仿宋"/>
          <w:sz w:val="24"/>
          <w:szCs w:val="24"/>
          <w:lang w:val="en-US" w:eastAsia="zh-CN"/>
        </w:rPr>
        <w:t>发展环保治理产业，落实</w:t>
      </w:r>
      <w:r>
        <w:rPr>
          <w:rFonts w:hint="eastAsia" w:ascii="仿宋" w:hAnsi="仿宋" w:eastAsia="仿宋" w:cs="仿宋"/>
          <w:color w:val="000000"/>
          <w:sz w:val="24"/>
          <w:szCs w:val="24"/>
        </w:rPr>
        <w:t>微晶玻璃板材、</w:t>
      </w:r>
      <w:r>
        <w:rPr>
          <w:rFonts w:hint="eastAsia" w:ascii="仿宋" w:hAnsi="仿宋" w:eastAsia="仿宋" w:cs="仿宋"/>
          <w:sz w:val="24"/>
          <w:szCs w:val="24"/>
        </w:rPr>
        <w:t>保温材料等</w:t>
      </w:r>
      <w:r>
        <w:rPr>
          <w:rFonts w:hint="eastAsia" w:ascii="仿宋" w:hAnsi="仿宋" w:eastAsia="仿宋" w:cs="仿宋"/>
          <w:sz w:val="24"/>
          <w:szCs w:val="24"/>
          <w:lang w:val="en-US" w:eastAsia="zh-CN"/>
        </w:rPr>
        <w:t>重点项目</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提升矿渣、尾矿等工业固废资源利用水平</w:t>
      </w:r>
      <w:r>
        <w:rPr>
          <w:rFonts w:hint="eastAsia" w:ascii="仿宋" w:hAnsi="仿宋" w:eastAsia="仿宋" w:cs="仿宋"/>
          <w:sz w:val="24"/>
          <w:szCs w:val="24"/>
          <w:lang w:eastAsia="zh-CN"/>
        </w:rPr>
        <w:t>。</w:t>
      </w:r>
    </w:p>
    <w:p w14:paraId="550C6694">
      <w:pPr>
        <w:pStyle w:val="2"/>
        <w:outlineLvl w:val="9"/>
        <w:rPr>
          <w:rFonts w:hint="eastAsia"/>
          <w:sz w:val="24"/>
          <w:szCs w:val="24"/>
          <w:lang w:eastAsia="zh-CN"/>
        </w:rPr>
      </w:pPr>
    </w:p>
    <w:tbl>
      <w:tblPr>
        <w:tblStyle w:val="13"/>
        <w:tblpPr w:leftFromText="180" w:rightFromText="180" w:vertAnchor="text" w:horzAnchor="page" w:tblpX="1552" w:tblpY="48"/>
        <w:tblOverlap w:val="never"/>
        <w:tblW w:w="5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tblGrid>
      <w:tr w14:paraId="057F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5550" w:type="dxa"/>
            <w:tcBorders>
              <w:top w:val="single" w:color="auto" w:sz="4" w:space="0"/>
              <w:left w:val="single" w:color="auto" w:sz="4" w:space="0"/>
              <w:bottom w:val="single" w:color="auto" w:sz="4" w:space="0"/>
              <w:right w:val="single" w:color="auto" w:sz="4" w:space="0"/>
            </w:tcBorders>
            <w:noWrap/>
          </w:tcPr>
          <w:p w14:paraId="7630C207">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bookmarkStart w:id="118" w:name="_Toc24367"/>
            <w:bookmarkStart w:id="119" w:name="_Toc32244"/>
            <w:bookmarkStart w:id="120" w:name="_Toc21257"/>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4  促进</w:t>
            </w:r>
            <w:r>
              <w:rPr>
                <w:rFonts w:hint="eastAsia" w:ascii="仿宋" w:hAnsi="仿宋" w:eastAsia="仿宋" w:cs="仿宋"/>
                <w:b/>
                <w:bCs/>
                <w:sz w:val="24"/>
                <w:szCs w:val="24"/>
                <w:lang w:eastAsia="zh-CN"/>
              </w:rPr>
              <w:t>传统产业转型升级</w:t>
            </w:r>
          </w:p>
          <w:p w14:paraId="69027DC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加快升级改造：</w:t>
            </w:r>
            <w:r>
              <w:rPr>
                <w:rFonts w:hint="eastAsia" w:ascii="仿宋" w:hAnsi="仿宋" w:eastAsia="仿宋" w:cs="仿宋"/>
                <w:b w:val="0"/>
                <w:bCs w:val="0"/>
                <w:color w:val="000000" w:themeColor="text1"/>
                <w:sz w:val="24"/>
                <w:szCs w:val="24"/>
                <w:lang w:val="en-US" w:eastAsia="zh-CN"/>
                <w14:textFill>
                  <w14:solidFill>
                    <w14:schemeClr w14:val="tx1"/>
                  </w14:solidFill>
                </w14:textFill>
              </w:rPr>
              <w:t>加快宝山、白云铁矿、沃尔特矿业等企业传统工业企业升级改造，推动传统产业转型；</w:t>
            </w:r>
          </w:p>
          <w:p w14:paraId="5F1B946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提高利用率：</w:t>
            </w:r>
            <w:r>
              <w:rPr>
                <w:rFonts w:hint="eastAsia" w:ascii="仿宋" w:hAnsi="仿宋" w:eastAsia="仿宋" w:cs="仿宋"/>
                <w:b w:val="0"/>
                <w:bCs w:val="0"/>
                <w:color w:val="000000" w:themeColor="text1"/>
                <w:sz w:val="24"/>
                <w:szCs w:val="24"/>
                <w:lang w:val="en-US" w:eastAsia="zh-CN"/>
                <w14:textFill>
                  <w14:solidFill>
                    <w14:schemeClr w14:val="tx1"/>
                  </w14:solidFill>
                </w14:textFill>
              </w:rPr>
              <w:t>引导矿石选冶逐步向矿产资源综合利用、精深加工、就地转化和技术开发转型；</w:t>
            </w:r>
          </w:p>
          <w:p w14:paraId="7A770F0D">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培育产业链：</w:t>
            </w:r>
            <w:r>
              <w:rPr>
                <w:rFonts w:hint="eastAsia" w:ascii="仿宋" w:hAnsi="仿宋" w:eastAsia="仿宋" w:cs="仿宋"/>
                <w:b w:val="0"/>
                <w:bCs w:val="0"/>
                <w:color w:val="000000" w:themeColor="text1"/>
                <w:sz w:val="24"/>
                <w:szCs w:val="24"/>
                <w:lang w:val="en-US" w:eastAsia="zh-CN"/>
                <w14:textFill>
                  <w14:solidFill>
                    <w14:schemeClr w14:val="tx1"/>
                  </w14:solidFill>
                </w14:textFill>
              </w:rPr>
              <w:t>围绕萤石、富钾板岩、铌、钪等产业，努力引进一批重点项目，引导矿石选冶逐步向矿产资源综合利用、精深加工、就地转化和技术开发转型，培育发展服务配套加工制造产业，积极延伸产业链；</w:t>
            </w:r>
          </w:p>
          <w:p w14:paraId="3051F4DB">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包头市稀土产业中试基地建设项目：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以稀土应用及深加工、富钾板岩综合利用、尾矿资源综合利用为发展重点，加快稀土新材料及高端应用产业发展。</w:t>
            </w:r>
          </w:p>
          <w:p w14:paraId="0C200CA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稀土冶选项目：积极承接稀土冶炼企业搬迁转移或新建冶选企业，规划建设5万吨稀土分离项目；</w:t>
            </w:r>
          </w:p>
          <w:p w14:paraId="6801F6D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稀土深加工项目：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主要内容为年产4000吨混合稀土金属的生产车间、年产6000吨稀土金属的生产车间及相应的配套设施等；</w:t>
            </w:r>
          </w:p>
          <w:p w14:paraId="62A8DCAB">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萤石深加工氟化工项目：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充分利用包钢白云宝山公司生产的萤石精粉及周边萤石矿资源，大力发展萤石制氢氟酸，利用低成本的氢氟酸分期建设年产20万吨氟化铝循环经济项目；</w:t>
            </w:r>
          </w:p>
          <w:p w14:paraId="0EEBD8C4">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富钾板岩综合利用项目：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建设处理富钾板岩矿石60万吨的示范生产线，分别生产出电子级碳酸钾、氢氧化铝、填料级硅灰石和轻质墙体材料四种产品。</w:t>
            </w:r>
          </w:p>
          <w:p w14:paraId="30DE9825">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氧化钪深加工项目：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利用现有生产线，使包钢氧化钪中试生产线达到年产30吨高纯氧化钪生产线；</w:t>
            </w:r>
          </w:p>
          <w:p w14:paraId="344DE72A">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氧化铌的综合利用项目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：围绕我区丰富的铌资源，与知名企业合作生产氧化铌新材料，提升产品附加值；</w:t>
            </w:r>
          </w:p>
          <w:p w14:paraId="103959E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白云鄂博尾矿源综合利用建设项目：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利用白云鄂博尾矿资源，开发白云鄂博共伴生矿和包钢尾矿库尾矿资源。</w:t>
            </w:r>
          </w:p>
          <w:p w14:paraId="270B0BDE">
            <w:pPr>
              <w:pStyle w:val="24"/>
              <w:pageBreakBefore w:val="0"/>
              <w:kinsoku/>
              <w:wordWrap/>
              <w:overflowPunct/>
              <w:topLinePunct w:val="0"/>
              <w:autoSpaceDE/>
              <w:autoSpaceDN/>
              <w:bidi w:val="0"/>
              <w:spacing w:line="520" w:lineRule="exact"/>
              <w:ind w:left="0" w:leftChars="0" w:firstLine="0" w:firstLineChars="0"/>
              <w:textAlignment w:val="auto"/>
              <w:rPr>
                <w:rFonts w:hint="eastAsia" w:ascii="仿宋" w:hAnsi="仿宋" w:eastAsia="仿宋" w:cs="仿宋"/>
                <w:b w:val="0"/>
                <w:bCs/>
                <w:kern w:val="0"/>
                <w:sz w:val="24"/>
                <w:szCs w:val="24"/>
                <w:lang w:val="en-US" w:eastAsia="zh-CN" w:bidi="ar-SA"/>
              </w:rPr>
            </w:pPr>
          </w:p>
        </w:tc>
      </w:tr>
    </w:tbl>
    <w:p w14:paraId="133F56F7">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21" w:name="_Toc13264"/>
      <w:bookmarkStart w:id="122" w:name="_Toc30212"/>
      <w:bookmarkStart w:id="123" w:name="_Toc8905"/>
      <w:r>
        <w:rPr>
          <w:rFonts w:hint="eastAsia" w:ascii="宋体" w:hAnsi="宋体" w:eastAsia="宋体" w:cs="宋体"/>
          <w:sz w:val="28"/>
          <w:szCs w:val="28"/>
          <w:lang w:val="en-US" w:eastAsia="zh-CN"/>
        </w:rPr>
        <w:t>第二节 培育发展战略性新兴产业</w:t>
      </w:r>
      <w:bookmarkEnd w:id="118"/>
      <w:bookmarkEnd w:id="119"/>
      <w:bookmarkEnd w:id="120"/>
      <w:bookmarkEnd w:id="121"/>
      <w:bookmarkEnd w:id="122"/>
      <w:bookmarkEnd w:id="123"/>
    </w:p>
    <w:p w14:paraId="18FEB5C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加大政策扶持力度,多措并举培育壮大经济发展新动能，激发创新内生动力，按照“龙头企业—大项目—产业链—产业集群”的发展思路,引导人才、技术、资本、项目等要素集聚,推动战略性新兴产业发展。</w:t>
      </w:r>
    </w:p>
    <w:p w14:paraId="32C2EE4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到2025年,新材料、新能源、节能环保等战略性新兴产业发展实现新突破。</w:t>
      </w:r>
    </w:p>
    <w:p w14:paraId="5D3DED4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——新材料产业。</w:t>
      </w:r>
      <w:r>
        <w:rPr>
          <w:rFonts w:hint="eastAsia" w:ascii="仿宋" w:hAnsi="仿宋" w:eastAsia="仿宋" w:cs="仿宋"/>
          <w:sz w:val="24"/>
          <w:szCs w:val="24"/>
          <w:lang w:val="en-US" w:eastAsia="zh-CN"/>
        </w:rPr>
        <w:t>充分发挥我区得天独厚的稀土资源及稀土行业龙头企业的引领作用,以“高科技、专业化、集约化”为发展目标,进一步加大产学研合作力度,积极承接发展铌钪合金、稀土金属等产业项目及上下游配套企业,延伸发展新材料产业链,进一步增强自主创新能力,提高核心竞争力。</w:t>
      </w:r>
    </w:p>
    <w:p w14:paraId="3566743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z w:val="24"/>
          <w:szCs w:val="24"/>
          <w:lang w:val="en-US" w:eastAsia="zh-CN"/>
        </w:rPr>
      </w:pPr>
      <w:bookmarkStart w:id="124" w:name="_Toc103"/>
      <w:bookmarkStart w:id="125" w:name="_Toc11636"/>
      <w:r>
        <w:rPr>
          <w:rFonts w:hint="eastAsia" w:ascii="仿宋" w:hAnsi="仿宋" w:eastAsia="仿宋" w:cs="仿宋"/>
          <w:b/>
          <w:bCs/>
          <w:sz w:val="24"/>
          <w:szCs w:val="24"/>
          <w:lang w:val="en-US" w:eastAsia="zh-CN"/>
        </w:rPr>
        <w:t>——新能源产业。</w:t>
      </w:r>
      <w:r>
        <w:rPr>
          <w:rFonts w:hint="eastAsia" w:ascii="仿宋" w:hAnsi="仿宋" w:eastAsia="仿宋" w:cs="仿宋"/>
          <w:sz w:val="24"/>
          <w:szCs w:val="24"/>
          <w:lang w:val="en-US" w:eastAsia="zh-CN"/>
        </w:rPr>
        <w:t>抓住自治区建设现代能源经济示范区、包头市建设国家级可再生能源综合应用示范区、绿色矿山建设等有利机遇，</w:t>
      </w:r>
      <w:r>
        <w:rPr>
          <w:rFonts w:hint="eastAsia" w:ascii="仿宋" w:hAnsi="仿宋" w:eastAsia="仿宋" w:cs="仿宋"/>
          <w:snapToGrid w:val="0"/>
          <w:spacing w:val="0"/>
          <w:kern w:val="0"/>
          <w:sz w:val="24"/>
          <w:szCs w:val="24"/>
          <w:lang w:val="en-US" w:eastAsia="zh-CN"/>
        </w:rPr>
        <w:t>及时出台新能源产业发展规划及鼓励发展政策，加快风、光、氢等新能源产业发展，积极对接参与包头市“全国重要的现代能源产业基地”、“风光氢核新能源产业集群”建设行动。</w:t>
      </w:r>
      <w:r>
        <w:rPr>
          <w:rFonts w:hint="eastAsia" w:ascii="仿宋" w:hAnsi="仿宋" w:eastAsia="仿宋" w:cs="仿宋"/>
          <w:sz w:val="24"/>
          <w:szCs w:val="24"/>
          <w:lang w:val="en-US" w:eastAsia="zh-CN"/>
        </w:rPr>
        <w:t>充分利用排土场绿化、矿山尾矿及城区周边闲置土地资源，积极探索因地制宜、多能互补、灵活配置、经济高效的发展模式，打造新能源发展示范区。</w:t>
      </w:r>
      <w:bookmarkEnd w:id="124"/>
      <w:bookmarkEnd w:id="125"/>
      <w:r>
        <w:rPr>
          <w:rFonts w:hint="eastAsia" w:ascii="仿宋" w:hAnsi="仿宋" w:eastAsia="仿宋" w:cs="仿宋"/>
          <w:sz w:val="24"/>
          <w:szCs w:val="24"/>
          <w:lang w:val="en-US" w:eastAsia="zh-CN"/>
        </w:rPr>
        <w:t>探索分布式光伏、分散式风电项目，积极推进屋顶分布式光伏项目建设，到2025年，清洁能源发电总装机规模达到100万千瓦以上。</w:t>
      </w:r>
    </w:p>
    <w:p w14:paraId="53B8068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——节能环保产业。</w:t>
      </w:r>
      <w:r>
        <w:rPr>
          <w:rFonts w:hint="eastAsia" w:ascii="仿宋" w:hAnsi="仿宋" w:eastAsia="仿宋" w:cs="仿宋"/>
          <w:sz w:val="24"/>
          <w:szCs w:val="24"/>
          <w:lang w:val="en-US" w:eastAsia="zh-CN"/>
        </w:rPr>
        <w:t>大力发展节能环保产业，提升绿色竞争力、补齐节能环保发展短板，将节能环保产业打造成新的经济增长极。加快实施国家级工业危废处置中心项目，鼓励各类投资经营主体积极参与节能环保产业发展，积极引进工业污水和固体废弃物处理专业机构、技术研发组织，做好做大固废资源综合利用和无害化处置。大力引进余能回收利用企业、“三污”防治企业、固废利用企业等绿色低碳企业，积极发展再生资源清洁化回收，</w:t>
      </w:r>
      <w:bookmarkStart w:id="126" w:name="_Toc24001"/>
      <w:bookmarkStart w:id="127" w:name="_Toc11110"/>
      <w:r>
        <w:rPr>
          <w:rFonts w:hint="eastAsia" w:ascii="仿宋" w:hAnsi="仿宋" w:eastAsia="仿宋" w:cs="仿宋"/>
          <w:sz w:val="24"/>
          <w:szCs w:val="24"/>
          <w:lang w:val="en-US" w:eastAsia="zh-CN"/>
        </w:rPr>
        <w:t>提升矿渣工业固废资源综合利用水平</w:t>
      </w:r>
      <w:bookmarkEnd w:id="126"/>
      <w:bookmarkEnd w:id="127"/>
      <w:r>
        <w:rPr>
          <w:rFonts w:hint="eastAsia" w:ascii="仿宋" w:hAnsi="仿宋" w:eastAsia="仿宋" w:cs="仿宋"/>
          <w:sz w:val="24"/>
          <w:szCs w:val="24"/>
          <w:lang w:val="en-US" w:eastAsia="zh-CN"/>
        </w:rPr>
        <w:t>，实现规模化利用和产业化发展。</w:t>
      </w:r>
    </w:p>
    <w:p w14:paraId="3E3A696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——氢能产业。</w:t>
      </w:r>
      <w:r>
        <w:rPr>
          <w:rFonts w:hint="eastAsia" w:ascii="仿宋" w:hAnsi="仿宋" w:eastAsia="仿宋" w:cs="仿宋"/>
          <w:snapToGrid w:val="0"/>
          <w:spacing w:val="0"/>
          <w:kern w:val="0"/>
          <w:sz w:val="24"/>
          <w:szCs w:val="24"/>
          <w:lang w:val="en-US" w:eastAsia="zh-CN"/>
        </w:rPr>
        <w:t>主动融入自治区、包头市氢能源产业布局</w:t>
      </w:r>
      <w:r>
        <w:rPr>
          <w:rFonts w:hint="eastAsia" w:ascii="仿宋" w:hAnsi="仿宋" w:eastAsia="仿宋" w:cs="仿宋"/>
          <w:sz w:val="24"/>
          <w:szCs w:val="24"/>
          <w:lang w:val="en-US" w:eastAsia="zh-CN"/>
        </w:rPr>
        <w:t>。</w:t>
      </w:r>
      <w:r>
        <w:rPr>
          <w:rFonts w:hint="eastAsia" w:ascii="仿宋" w:hAnsi="仿宋" w:eastAsia="仿宋" w:cs="仿宋"/>
          <w:snapToGrid w:val="0"/>
          <w:spacing w:val="0"/>
          <w:kern w:val="0"/>
          <w:sz w:val="24"/>
          <w:szCs w:val="24"/>
          <w:lang w:val="en-US" w:eastAsia="zh-CN"/>
        </w:rPr>
        <w:t>积极引进和培育风力发电、光伏发电、制氢储能、储氢、运氢等领域的龙头企业。</w:t>
      </w:r>
      <w:r>
        <w:rPr>
          <w:rFonts w:hint="eastAsia" w:ascii="仿宋" w:hAnsi="仿宋" w:eastAsia="仿宋" w:cs="仿宋"/>
          <w:sz w:val="24"/>
          <w:szCs w:val="24"/>
          <w:lang w:val="en-US" w:eastAsia="zh-CN"/>
        </w:rPr>
        <w:t>围绕氢动力汽车、氢能发电、氢燃料电池等领域，大力</w:t>
      </w:r>
      <w:r>
        <w:rPr>
          <w:rFonts w:hint="eastAsia" w:ascii="仿宋" w:hAnsi="仿宋" w:eastAsia="仿宋" w:cs="仿宋"/>
          <w:snapToGrid w:val="0"/>
          <w:spacing w:val="0"/>
          <w:kern w:val="0"/>
          <w:sz w:val="24"/>
          <w:szCs w:val="24"/>
          <w:lang w:val="en-US" w:eastAsia="zh-CN"/>
        </w:rPr>
        <w:t>引进掌握核心技术和工艺的技术人才以及相关科研院所，</w:t>
      </w:r>
      <w:r>
        <w:rPr>
          <w:rFonts w:hint="eastAsia" w:ascii="仿宋" w:hAnsi="仿宋" w:eastAsia="仿宋" w:cs="仿宋"/>
          <w:sz w:val="24"/>
          <w:szCs w:val="24"/>
          <w:lang w:val="en-US" w:eastAsia="zh-CN"/>
        </w:rPr>
        <w:t>积极发展新能源制氢、氢能利用、加氢设施建设、氢燃料汽车电池等产业，发展形成氢能产业链。充分利用我区风光制氢成本低、矿用重卡氢能转换应用市场大等优势，统筹发展我区氢能产业，</w:t>
      </w:r>
      <w:r>
        <w:rPr>
          <w:rFonts w:hint="eastAsia" w:ascii="仿宋" w:hAnsi="仿宋" w:eastAsia="仿宋" w:cs="仿宋"/>
          <w:snapToGrid w:val="0"/>
          <w:spacing w:val="0"/>
          <w:kern w:val="0"/>
          <w:sz w:val="24"/>
          <w:szCs w:val="24"/>
          <w:lang w:val="en-US" w:eastAsia="zh-CN"/>
        </w:rPr>
        <w:t>组织开展氢能制造、氢能利用、氢能储存、储氢材料等领域的技术攻关，结合本地区发展需要，率先完成矿用汽车氢燃料改造工程，提高清洁能源就地转化率。</w:t>
      </w:r>
      <w:r>
        <w:rPr>
          <w:rFonts w:hint="eastAsia" w:ascii="仿宋" w:hAnsi="仿宋" w:eastAsia="仿宋" w:cs="仿宋"/>
          <w:sz w:val="24"/>
          <w:szCs w:val="24"/>
          <w:lang w:val="en-US" w:eastAsia="zh-CN"/>
        </w:rPr>
        <w:t>重点引进正负极关键材料，以及隔膜、电解液、逆变器等核心组件生产厂家，推进氢能产业快速发展，打造氢能碳中和绿色工矿产业示范基地。</w:t>
      </w:r>
    </w:p>
    <w:p w14:paraId="626F8F5F">
      <w:pPr>
        <w:pStyle w:val="2"/>
        <w:outlineLvl w:val="9"/>
        <w:rPr>
          <w:rFonts w:hint="eastAsia"/>
          <w:sz w:val="24"/>
          <w:szCs w:val="24"/>
          <w:lang w:val="en-US" w:eastAsia="zh-CN"/>
        </w:rPr>
      </w:pPr>
    </w:p>
    <w:tbl>
      <w:tblPr>
        <w:tblStyle w:val="13"/>
        <w:tblpPr w:leftFromText="180" w:rightFromText="180" w:vertAnchor="text" w:horzAnchor="page" w:tblpX="1522" w:tblpY="74"/>
        <w:tblOverlap w:val="never"/>
        <w:tblW w:w="5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5"/>
      </w:tblGrid>
      <w:tr w14:paraId="3A22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5595" w:type="dxa"/>
            <w:tcBorders>
              <w:top w:val="single" w:color="auto" w:sz="4" w:space="0"/>
              <w:left w:val="single" w:color="auto" w:sz="4" w:space="0"/>
              <w:bottom w:val="single" w:color="auto" w:sz="4" w:space="0"/>
              <w:right w:val="single" w:color="auto" w:sz="4" w:space="0"/>
            </w:tcBorders>
            <w:noWrap/>
          </w:tcPr>
          <w:p w14:paraId="485419D2">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5  培育发展战略性新兴产业</w:t>
            </w:r>
          </w:p>
          <w:p w14:paraId="53CCA6DD">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可再生能源利用项目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:利用白云铁矿、沃尔特尾矿排土场闲置空地建设30万千瓦清洁能源发电项目；</w:t>
            </w:r>
          </w:p>
          <w:p w14:paraId="46839084">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白云矿区分散式风力发电项目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：利用白云矿区风能和可利用土地建设5万千瓦分散式风力发电场；</w:t>
            </w:r>
          </w:p>
          <w:p w14:paraId="04B8A8D5">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白云鄂博60万千瓦风光储能矿山治理项目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：利用白云铁矿包钢矿区排土场、沃尔特选矿区排土场建设总容量为50万千瓦的风光储矿山恢复治理项目及配套附属设施。</w:t>
            </w:r>
          </w:p>
          <w:p w14:paraId="7780364E">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中浩燃气公司清洁能源汽车站建设项目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：建设LNG/CNG加气站；</w:t>
            </w:r>
          </w:p>
          <w:p w14:paraId="29A161B6">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清洁能源汽车改装建设项目：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对矿区2000余量运矿车辆进行LNG储罐改装及城区私家轿车进行CNG储罐改造；</w:t>
            </w:r>
          </w:p>
          <w:p w14:paraId="6CDF5029">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稀土新材料项目：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新建年产中端、高端系列稀土抛光粉3000吨高性能稀土抛光材料及相关配套设施建设；</w:t>
            </w:r>
          </w:p>
          <w:p w14:paraId="26FE646C">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铸件项目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：徐工矿山挖掘机高强度链板、链节开发，与五二研究所合作进行新材料研发；</w:t>
            </w:r>
          </w:p>
          <w:p w14:paraId="478EF46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三角河尾矿库综合整治项目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：将历史遗留小选厂关停后的环境整治问题进行整改，对现有尾矿库进行覆土种植；</w:t>
            </w:r>
          </w:p>
          <w:p w14:paraId="3ECBD047">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napToGrid w:val="0"/>
                <w:spacing w:val="0"/>
                <w:kern w:val="0"/>
                <w:sz w:val="24"/>
                <w:szCs w:val="24"/>
                <w:lang w:val="en-US" w:eastAsia="zh-CN"/>
              </w:rPr>
            </w:pPr>
            <w:r>
              <w:rPr>
                <w:rFonts w:hint="eastAsia" w:ascii="仿宋" w:hAnsi="仿宋" w:eastAsia="仿宋" w:cs="仿宋"/>
                <w:b/>
                <w:bCs/>
                <w:color w:val="000000" w:themeColor="text1"/>
                <w:sz w:val="24"/>
                <w:szCs w:val="24"/>
                <w:lang w:val="en-US" w:eastAsia="zh-CN"/>
                <w14:textFill>
                  <w14:solidFill>
                    <w14:schemeClr w14:val="tx1"/>
                  </w14:solidFill>
                </w14:textFill>
              </w:rPr>
              <w:t>宝山矿业热电作业部环保设施超低排放改造项目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：对现有环保设施进行超低排放改造。</w:t>
            </w:r>
          </w:p>
        </w:tc>
      </w:tr>
      <w:bookmarkEnd w:id="114"/>
    </w:tbl>
    <w:p w14:paraId="3F7AEFA8">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28" w:name="_Toc17924"/>
      <w:bookmarkStart w:id="129" w:name="_Toc8900"/>
      <w:bookmarkStart w:id="130" w:name="_Toc3197"/>
      <w:bookmarkStart w:id="131" w:name="_Toc9572"/>
      <w:r>
        <w:rPr>
          <w:rFonts w:hint="eastAsia" w:ascii="宋体" w:hAnsi="宋体" w:eastAsia="宋体" w:cs="宋体"/>
          <w:sz w:val="28"/>
          <w:szCs w:val="28"/>
          <w:lang w:val="en-US" w:eastAsia="zh-CN"/>
        </w:rPr>
        <w:t>第三节  培育</w:t>
      </w:r>
      <w:r>
        <w:rPr>
          <w:rFonts w:hint="eastAsia" w:ascii="宋体" w:hAnsi="宋体" w:cs="宋体"/>
          <w:sz w:val="28"/>
          <w:szCs w:val="28"/>
          <w:lang w:val="en-US" w:eastAsia="zh-CN"/>
        </w:rPr>
        <w:t>壮大</w:t>
      </w:r>
      <w:r>
        <w:rPr>
          <w:rFonts w:hint="eastAsia" w:ascii="宋体" w:hAnsi="宋体" w:eastAsia="宋体" w:cs="宋体"/>
          <w:sz w:val="28"/>
          <w:szCs w:val="28"/>
          <w:lang w:val="en-US" w:eastAsia="zh-CN"/>
        </w:rPr>
        <w:t>现代服务业</w:t>
      </w:r>
      <w:bookmarkEnd w:id="128"/>
      <w:bookmarkEnd w:id="129"/>
      <w:bookmarkEnd w:id="130"/>
      <w:bookmarkEnd w:id="131"/>
    </w:p>
    <w:p w14:paraId="2DA33A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snapToGrid w:val="0"/>
          <w:spacing w:val="0"/>
          <w:kern w:val="0"/>
          <w:sz w:val="24"/>
          <w:szCs w:val="24"/>
          <w:lang w:val="en-US" w:eastAsia="zh-CN"/>
        </w:rPr>
        <w:t>大力推动现代服务业创新发展，促进生产性服务业向专业化、高端化延伸发展，生活性服务业向高品质、多样化升级发展。</w:t>
      </w:r>
    </w:p>
    <w:p w14:paraId="43BC489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加快发展生产性服务业。</w:t>
      </w:r>
      <w:r>
        <w:rPr>
          <w:rFonts w:hint="eastAsia" w:ascii="仿宋" w:hAnsi="仿宋" w:eastAsia="仿宋" w:cs="仿宋"/>
          <w:snapToGrid w:val="0"/>
          <w:spacing w:val="0"/>
          <w:kern w:val="0"/>
          <w:sz w:val="24"/>
          <w:szCs w:val="24"/>
          <w:lang w:val="en-US" w:eastAsia="zh-CN"/>
        </w:rPr>
        <w:t>积极发展生产性服务业，为工业发展提供配套服务。加快推进生产性服务业向专业化、现代化方向发展，使生产性服务业成为未来推动我区产业结构转型升级、经济高质量发展的重要动力和支撑。重点发展矿用机械维修业，不断提高矿用机械维修维护能力。做好清洁能源配套服务产业，提高风机组件维修、零部件制造能力和太阳能板清洗维护能力，为新能源产业发展做好必要的服务保障。加速第二产业与生产性服务业的融合发展，积极培育和引进有影响的专项展会、稀土分论坛等商务活动。完善区域金融市场体系建设，加快发展绿色金融，借助区块链等金融科技技术，发展现代保理、电子票据、融资租赁、跨境贸易电子结算等金融业务，全面提高金融服务水平。着</w:t>
      </w:r>
      <w:r>
        <w:rPr>
          <w:rFonts w:hint="eastAsia" w:ascii="仿宋" w:hAnsi="仿宋" w:eastAsia="仿宋" w:cs="仿宋"/>
          <w:snapToGrid w:val="0"/>
          <w:spacing w:val="0"/>
          <w:kern w:val="0"/>
          <w:sz w:val="24"/>
          <w:szCs w:val="24"/>
          <w:lang w:val="zh-CN" w:eastAsia="zh-CN"/>
        </w:rPr>
        <w:t>力</w:t>
      </w:r>
      <w:r>
        <w:rPr>
          <w:rFonts w:hint="eastAsia" w:ascii="仿宋" w:hAnsi="仿宋" w:eastAsia="仿宋" w:cs="仿宋"/>
          <w:snapToGrid w:val="0"/>
          <w:spacing w:val="0"/>
          <w:kern w:val="0"/>
          <w:sz w:val="24"/>
          <w:szCs w:val="24"/>
          <w:lang w:val="en-US" w:eastAsia="zh-CN"/>
        </w:rPr>
        <w:t>推动现代物流、商务</w:t>
      </w:r>
      <w:r>
        <w:rPr>
          <w:rFonts w:hint="eastAsia" w:ascii="仿宋" w:hAnsi="仿宋" w:eastAsia="仿宋" w:cs="仿宋"/>
          <w:snapToGrid w:val="0"/>
          <w:spacing w:val="0"/>
          <w:kern w:val="0"/>
          <w:sz w:val="24"/>
          <w:szCs w:val="24"/>
          <w:lang w:val="zh-CN" w:eastAsia="zh-CN"/>
        </w:rPr>
        <w:t>服务</w:t>
      </w:r>
      <w:r>
        <w:rPr>
          <w:rFonts w:hint="eastAsia" w:ascii="仿宋" w:hAnsi="仿宋" w:eastAsia="仿宋" w:cs="仿宋"/>
          <w:snapToGrid w:val="0"/>
          <w:spacing w:val="0"/>
          <w:kern w:val="0"/>
          <w:sz w:val="24"/>
          <w:szCs w:val="24"/>
          <w:lang w:val="en-US" w:eastAsia="zh-CN"/>
        </w:rPr>
        <w:t>、产业</w:t>
      </w:r>
      <w:r>
        <w:rPr>
          <w:rFonts w:hint="eastAsia" w:ascii="仿宋" w:hAnsi="仿宋" w:eastAsia="仿宋" w:cs="仿宋"/>
          <w:snapToGrid w:val="0"/>
          <w:spacing w:val="0"/>
          <w:kern w:val="0"/>
          <w:sz w:val="24"/>
          <w:szCs w:val="24"/>
          <w:lang w:val="zh-CN" w:eastAsia="zh-CN"/>
        </w:rPr>
        <w:t>金</w:t>
      </w:r>
      <w:r>
        <w:rPr>
          <w:rFonts w:hint="eastAsia" w:ascii="仿宋" w:hAnsi="仿宋" w:eastAsia="仿宋" w:cs="仿宋"/>
          <w:snapToGrid w:val="0"/>
          <w:spacing w:val="0"/>
          <w:kern w:val="0"/>
          <w:sz w:val="24"/>
          <w:szCs w:val="24"/>
          <w:lang w:val="en-US" w:eastAsia="zh-CN"/>
        </w:rPr>
        <w:t>融、科技服务、检验检测、</w:t>
      </w:r>
      <w:r>
        <w:rPr>
          <w:rFonts w:hint="eastAsia" w:ascii="仿宋" w:hAnsi="仿宋" w:eastAsia="仿宋" w:cs="仿宋"/>
          <w:snapToGrid w:val="0"/>
          <w:spacing w:val="0"/>
          <w:kern w:val="0"/>
          <w:sz w:val="24"/>
          <w:szCs w:val="24"/>
          <w:lang w:val="zh-CN" w:eastAsia="zh-CN"/>
        </w:rPr>
        <w:t>人力</w:t>
      </w:r>
      <w:r>
        <w:rPr>
          <w:rFonts w:hint="eastAsia" w:ascii="仿宋" w:hAnsi="仿宋" w:eastAsia="仿宋" w:cs="仿宋"/>
          <w:snapToGrid w:val="0"/>
          <w:spacing w:val="0"/>
          <w:kern w:val="0"/>
          <w:sz w:val="24"/>
          <w:szCs w:val="24"/>
          <w:lang w:val="en-US" w:eastAsia="zh-CN"/>
        </w:rPr>
        <w:t>资源服务等</w:t>
      </w:r>
      <w:r>
        <w:rPr>
          <w:rFonts w:hint="eastAsia" w:ascii="仿宋" w:hAnsi="仿宋" w:eastAsia="仿宋" w:cs="仿宋"/>
          <w:snapToGrid w:val="0"/>
          <w:spacing w:val="0"/>
          <w:kern w:val="0"/>
          <w:sz w:val="24"/>
          <w:szCs w:val="24"/>
          <w:lang w:val="zh-CN" w:eastAsia="zh-CN"/>
        </w:rPr>
        <w:t>重</w:t>
      </w:r>
      <w:r>
        <w:rPr>
          <w:rFonts w:hint="eastAsia" w:ascii="仿宋" w:hAnsi="仿宋" w:eastAsia="仿宋" w:cs="仿宋"/>
          <w:snapToGrid w:val="0"/>
          <w:spacing w:val="0"/>
          <w:kern w:val="0"/>
          <w:sz w:val="24"/>
          <w:szCs w:val="24"/>
          <w:lang w:val="en-US" w:eastAsia="zh-CN"/>
        </w:rPr>
        <w:t>点</w:t>
      </w:r>
      <w:r>
        <w:rPr>
          <w:rFonts w:hint="eastAsia" w:ascii="仿宋" w:hAnsi="仿宋" w:eastAsia="仿宋" w:cs="仿宋"/>
          <w:snapToGrid w:val="0"/>
          <w:spacing w:val="0"/>
          <w:kern w:val="0"/>
          <w:sz w:val="24"/>
          <w:szCs w:val="24"/>
          <w:lang w:val="zh-CN" w:eastAsia="zh-CN"/>
        </w:rPr>
        <w:t>行</w:t>
      </w:r>
      <w:r>
        <w:rPr>
          <w:rFonts w:hint="eastAsia" w:ascii="仿宋" w:hAnsi="仿宋" w:eastAsia="仿宋" w:cs="仿宋"/>
          <w:snapToGrid w:val="0"/>
          <w:spacing w:val="0"/>
          <w:kern w:val="0"/>
          <w:sz w:val="24"/>
          <w:szCs w:val="24"/>
          <w:lang w:val="en-US" w:eastAsia="zh-CN"/>
        </w:rPr>
        <w:t>业全面发展。</w:t>
      </w:r>
    </w:p>
    <w:p w14:paraId="0C0CAC92">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完善提升生活性服务业。</w:t>
      </w:r>
      <w:r>
        <w:rPr>
          <w:rFonts w:hint="eastAsia" w:ascii="仿宋" w:hAnsi="仿宋" w:eastAsia="仿宋" w:cs="仿宋"/>
          <w:snapToGrid w:val="0"/>
          <w:spacing w:val="0"/>
          <w:kern w:val="0"/>
          <w:sz w:val="24"/>
          <w:szCs w:val="24"/>
          <w:lang w:val="en-US" w:eastAsia="zh-CN"/>
        </w:rPr>
        <w:t>依据未来我区人口规模，规划形成“一东一西”两大农贸市场、“一南一北”两个购物中心的生活服务业发展格局，适度发展城区生活购物商圈，积极发展农畜产品批发市场、俄罗斯蒙古进出口商品市场。持续打造稀土特色小镇、稀土文化商业街、特色餐饮街、边贸购物街等特色街区建设，实现提档升级。鼓励季节性夜市经济、地摊经济发展。积极培育微商、直播带货等新兴商贸业态，实现网络购物、便利店、社区超市等线上线下接续服务、有机链接。培育发展家庭康养服务业，着重发展健康服务、母婴护理、家政保洁等服务业，建设统一规范的康养服务业。</w:t>
      </w:r>
    </w:p>
    <w:p w14:paraId="2F5FB963">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napToGrid w:val="0"/>
          <w:spacing w:val="0"/>
          <w:kern w:val="0"/>
          <w:sz w:val="24"/>
          <w:szCs w:val="24"/>
          <w:lang w:val="en-US" w:eastAsia="zh-CN"/>
        </w:rPr>
      </w:pPr>
    </w:p>
    <w:tbl>
      <w:tblPr>
        <w:tblStyle w:val="13"/>
        <w:tblpPr w:leftFromText="180" w:rightFromText="180" w:vertAnchor="text" w:horzAnchor="page" w:tblpX="1552" w:tblpY="10"/>
        <w:tblOverlap w:val="never"/>
        <w:tblW w:w="5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0"/>
      </w:tblGrid>
      <w:tr w14:paraId="3390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520" w:type="dxa"/>
            <w:tcBorders>
              <w:top w:val="single" w:color="auto" w:sz="4" w:space="0"/>
              <w:left w:val="single" w:color="auto" w:sz="4" w:space="0"/>
              <w:bottom w:val="single" w:color="auto" w:sz="4" w:space="0"/>
              <w:right w:val="single" w:color="auto" w:sz="4" w:space="0"/>
            </w:tcBorders>
            <w:noWrap/>
          </w:tcPr>
          <w:p w14:paraId="5B1517AD">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6  培育发展现代服务业</w:t>
            </w:r>
          </w:p>
          <w:p w14:paraId="47457F39">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白云铁矿检修公司项目：</w:t>
            </w:r>
            <w:r>
              <w:rPr>
                <w:rFonts w:hint="eastAsia" w:ascii="仿宋" w:hAnsi="仿宋" w:eastAsia="仿宋" w:cs="仿宋"/>
                <w:b w:val="0"/>
                <w:bCs w:val="0"/>
                <w:sz w:val="24"/>
                <w:szCs w:val="24"/>
                <w:lang w:val="en-US" w:eastAsia="zh-CN"/>
              </w:rPr>
              <w:t>成立电力机车智能焊接工作站；</w:t>
            </w:r>
          </w:p>
          <w:p w14:paraId="459A792C">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矿山采选机械设备及零配件加工销售项目：</w:t>
            </w:r>
            <w:r>
              <w:rPr>
                <w:rFonts w:hint="eastAsia" w:ascii="仿宋" w:hAnsi="仿宋" w:eastAsia="仿宋" w:cs="仿宋"/>
                <w:b w:val="0"/>
                <w:bCs w:val="0"/>
                <w:sz w:val="24"/>
                <w:szCs w:val="24"/>
                <w:lang w:val="en-US" w:eastAsia="zh-CN"/>
              </w:rPr>
              <w:t>建设矿山采选机械设备及零配件加工销售基地。主要建设机加车间、销售场所、办公楼，购置机械设备；</w:t>
            </w:r>
          </w:p>
          <w:p w14:paraId="7E025EA6">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lang w:val="en-US"/>
              </w:rPr>
            </w:pPr>
            <w:r>
              <w:rPr>
                <w:rFonts w:hint="eastAsia" w:ascii="仿宋" w:hAnsi="仿宋" w:eastAsia="仿宋" w:cs="仿宋"/>
                <w:b/>
                <w:bCs/>
                <w:sz w:val="24"/>
                <w:szCs w:val="24"/>
                <w:lang w:val="en-US" w:eastAsia="zh-CN"/>
              </w:rPr>
              <w:t>中蒙俄小商品集散中心建设项目：</w:t>
            </w:r>
            <w:r>
              <w:rPr>
                <w:rFonts w:hint="eastAsia" w:ascii="仿宋" w:hAnsi="仿宋" w:eastAsia="仿宋" w:cs="仿宋"/>
                <w:b w:val="0"/>
                <w:bCs w:val="0"/>
                <w:sz w:val="24"/>
                <w:szCs w:val="24"/>
                <w:lang w:val="en-US" w:eastAsia="zh-CN"/>
              </w:rPr>
              <w:t>依托已建成蓝色港湾，引进中蒙俄小商品市场，打造集聚中心。</w:t>
            </w:r>
          </w:p>
        </w:tc>
      </w:tr>
    </w:tbl>
    <w:p w14:paraId="5993D8E1">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32" w:name="_Toc6656"/>
      <w:bookmarkStart w:id="133" w:name="_Toc3871"/>
      <w:bookmarkStart w:id="134" w:name="_Toc8715"/>
      <w:r>
        <w:rPr>
          <w:rFonts w:hint="eastAsia" w:ascii="宋体" w:hAnsi="宋体" w:eastAsia="宋体" w:cs="宋体"/>
          <w:sz w:val="28"/>
          <w:szCs w:val="28"/>
          <w:lang w:val="en-US" w:eastAsia="zh-CN"/>
        </w:rPr>
        <w:t>第四节 加快</w:t>
      </w:r>
      <w:bookmarkEnd w:id="132"/>
      <w:r>
        <w:rPr>
          <w:rFonts w:hint="eastAsia" w:ascii="宋体" w:hAnsi="宋体" w:eastAsia="宋体" w:cs="宋体"/>
          <w:sz w:val="28"/>
          <w:szCs w:val="28"/>
          <w:lang w:val="en-US" w:eastAsia="zh-CN"/>
        </w:rPr>
        <w:t>发展数字经济</w:t>
      </w:r>
      <w:bookmarkEnd w:id="133"/>
      <w:bookmarkEnd w:id="134"/>
    </w:p>
    <w:p w14:paraId="43502A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snapToGrid w:val="0"/>
          <w:spacing w:val="0"/>
          <w:kern w:val="0"/>
          <w:sz w:val="24"/>
          <w:szCs w:val="24"/>
          <w:lang w:val="en-US" w:eastAsia="zh-CN"/>
        </w:rPr>
        <w:t>大力发展数字经济，加快企业数字化、智能化发展，推动传统产业数字化换代升级。实施“互联网+”行动计划，实现信息化与工业化深度融合。</w:t>
      </w:r>
    </w:p>
    <w:p w14:paraId="1C72AC1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bookmarkStart w:id="135" w:name="_Toc5498"/>
      <w:bookmarkStart w:id="136" w:name="_Toc5564"/>
      <w:r>
        <w:rPr>
          <w:rFonts w:hint="eastAsia" w:ascii="仿宋" w:hAnsi="仿宋" w:eastAsia="仿宋" w:cs="仿宋"/>
          <w:b/>
          <w:bCs/>
          <w:snapToGrid w:val="0"/>
          <w:spacing w:val="0"/>
          <w:kern w:val="0"/>
          <w:sz w:val="24"/>
          <w:szCs w:val="24"/>
          <w:lang w:val="en-US" w:eastAsia="zh-CN"/>
        </w:rPr>
        <w:t>打造新型智慧城市生活示范区。</w:t>
      </w:r>
      <w:r>
        <w:rPr>
          <w:rFonts w:hint="eastAsia" w:ascii="仿宋" w:hAnsi="仿宋" w:eastAsia="仿宋" w:cs="仿宋"/>
          <w:snapToGrid w:val="0"/>
          <w:spacing w:val="0"/>
          <w:kern w:val="0"/>
          <w:sz w:val="24"/>
          <w:szCs w:val="24"/>
          <w:lang w:val="en-US" w:eastAsia="zh-CN"/>
        </w:rPr>
        <w:t>运用5G技术建设智慧旅游、智慧消费、智慧医疗、智慧教育等多个智慧生活应用平台，全面提升社会管理、便民服务等网络化、数字化、智能化水平，推进互联网在经济、社会、民生各领域广泛应用，加强城市网络安全保障机制建设，确保地区经济与信息安全，完善智慧城市运行管理机制，创新运行管理服务模式，实现城市管理智能化、高效化、便捷化；全面提升便民、利民服务水平，构建新型智慧城市生活示范区。</w:t>
      </w:r>
      <w:bookmarkEnd w:id="135"/>
      <w:bookmarkEnd w:id="136"/>
    </w:p>
    <w:p w14:paraId="15DF26D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bookmarkStart w:id="137" w:name="_Toc105"/>
      <w:bookmarkStart w:id="138" w:name="_Toc6887"/>
      <w:r>
        <w:rPr>
          <w:rFonts w:hint="eastAsia" w:ascii="仿宋" w:hAnsi="仿宋" w:eastAsia="仿宋" w:cs="仿宋"/>
          <w:b/>
          <w:bCs/>
          <w:snapToGrid w:val="0"/>
          <w:spacing w:val="0"/>
          <w:kern w:val="0"/>
          <w:sz w:val="24"/>
          <w:szCs w:val="24"/>
          <w:lang w:val="en-US" w:eastAsia="zh-CN"/>
        </w:rPr>
        <w:t>打造5G数字经济应用先行示范区。</w:t>
      </w:r>
      <w:bookmarkEnd w:id="137"/>
      <w:bookmarkEnd w:id="138"/>
      <w:r>
        <w:rPr>
          <w:rFonts w:hint="eastAsia" w:ascii="仿宋" w:hAnsi="仿宋" w:eastAsia="仿宋" w:cs="仿宋"/>
          <w:b w:val="0"/>
          <w:bCs w:val="0"/>
          <w:snapToGrid w:val="0"/>
          <w:spacing w:val="0"/>
          <w:kern w:val="0"/>
          <w:sz w:val="24"/>
          <w:szCs w:val="24"/>
          <w:lang w:val="en-US" w:eastAsia="zh-CN"/>
        </w:rPr>
        <w:t>发挥5G技术优势，</w:t>
      </w:r>
      <w:r>
        <w:rPr>
          <w:rFonts w:hint="eastAsia" w:ascii="仿宋" w:hAnsi="仿宋" w:eastAsia="仿宋" w:cs="仿宋"/>
          <w:snapToGrid w:val="0"/>
          <w:spacing w:val="0"/>
          <w:kern w:val="0"/>
          <w:sz w:val="24"/>
          <w:szCs w:val="24"/>
          <w:lang w:val="en-US" w:eastAsia="zh-CN"/>
        </w:rPr>
        <w:t>大力发展工业互联网，通过物联网、人工智能、系统工程、大数据、云计算等先进技术，加快采选业、资源加工、新能源产业等智能化转型升级；支持企业应用数字技术、智能制造技术，整体提升地区制造能力和管理水平，打造高质量发展新引擎；积极推动5G技术与“飞地经济”双创发展相结合，打造“5G+消费+服务+生产”电商服务平台，加快“云逛街”、“云购物”等消费新场景的普及应用，引导零售企业向线上线下联动并举的网络购物新模式转变。继续加强5G网络基础设施建设，完善服务功能，提升5G应用水平；以建设数字政府为重点，利用大数据、云计算和区块链等技术，构建覆盖全区的智能化政府管理体系。</w:t>
      </w:r>
    </w:p>
    <w:p w14:paraId="36BF4B3A">
      <w:pPr>
        <w:pStyle w:val="2"/>
        <w:jc w:val="both"/>
        <w:outlineLvl w:val="9"/>
        <w:rPr>
          <w:rFonts w:hint="eastAsia"/>
          <w:sz w:val="24"/>
          <w:szCs w:val="24"/>
          <w:lang w:val="en-US" w:eastAsia="zh-CN"/>
        </w:rPr>
      </w:pPr>
    </w:p>
    <w:tbl>
      <w:tblPr>
        <w:tblStyle w:val="13"/>
        <w:tblW w:w="556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tblGrid>
      <w:tr w14:paraId="4300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5565" w:type="dxa"/>
            <w:tcBorders>
              <w:top w:val="single" w:color="auto" w:sz="4" w:space="0"/>
              <w:left w:val="single" w:color="auto" w:sz="4" w:space="0"/>
              <w:bottom w:val="single" w:color="auto" w:sz="4" w:space="0"/>
              <w:right w:val="single" w:color="auto" w:sz="4" w:space="0"/>
            </w:tcBorders>
            <w:noWrap/>
            <w:vAlign w:val="top"/>
          </w:tcPr>
          <w:p w14:paraId="6679C0A3">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7  加快数字经济发展</w:t>
            </w:r>
          </w:p>
          <w:p w14:paraId="10BE210E">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z w:val="24"/>
                <w:szCs w:val="24"/>
                <w:lang w:val="en-US" w:eastAsia="zh-CN"/>
              </w:rPr>
              <w:t>5G智慧矿山技术开发及应用项目：</w:t>
            </w:r>
            <w:r>
              <w:rPr>
                <w:rFonts w:hint="eastAsia" w:ascii="仿宋" w:hAnsi="仿宋" w:eastAsia="仿宋" w:cs="仿宋"/>
                <w:snapToGrid w:val="0"/>
                <w:spacing w:val="0"/>
                <w:kern w:val="0"/>
                <w:sz w:val="24"/>
                <w:szCs w:val="24"/>
                <w:lang w:val="en-US" w:eastAsia="zh-CN"/>
              </w:rPr>
              <w:t>以矿山安全、环保、效率和效益全局最优为建设目标，通过物联网、人工智能、虚拟现实、系统工程、大数据、云计算等先进理论与技术综合应用，实现矿山采矿设计、生产、调度等过程的数字化、信息化与智能化；</w:t>
            </w:r>
          </w:p>
          <w:p w14:paraId="3EFC97D9">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智慧城市信息化建设项目</w:t>
            </w:r>
            <w:r>
              <w:rPr>
                <w:rFonts w:hint="eastAsia" w:ascii="仿宋" w:hAnsi="仿宋" w:eastAsia="仿宋" w:cs="仿宋"/>
                <w:snapToGrid w:val="0"/>
                <w:spacing w:val="0"/>
                <w:kern w:val="0"/>
                <w:sz w:val="24"/>
                <w:szCs w:val="24"/>
                <w:lang w:val="en-US" w:eastAsia="zh-CN"/>
              </w:rPr>
              <w:t>：依托智慧城市中心平台，继续完善各类平台和系统功能建设，逐步实现城市管理高效化、市民生活便捷化、产业发展高端化总体目标；</w:t>
            </w:r>
          </w:p>
          <w:p w14:paraId="6E4B9A1E">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白云鄂博云计算中心（基地）建设项目</w:t>
            </w:r>
            <w:r>
              <w:rPr>
                <w:rFonts w:hint="eastAsia" w:ascii="仿宋" w:hAnsi="仿宋" w:eastAsia="仿宋" w:cs="仿宋"/>
                <w:snapToGrid w:val="0"/>
                <w:spacing w:val="0"/>
                <w:kern w:val="0"/>
                <w:sz w:val="24"/>
                <w:szCs w:val="24"/>
                <w:lang w:val="en-US" w:eastAsia="zh-CN"/>
              </w:rPr>
              <w:t>：建设大型云计算数据中心，配置服务器及相应的动力、传输、支撑系统，延伸产业链，发展区块链技术应用。</w:t>
            </w:r>
          </w:p>
        </w:tc>
      </w:tr>
    </w:tbl>
    <w:p w14:paraId="6697FD3C">
      <w:pPr>
        <w:pStyle w:val="3"/>
        <w:pageBreakBefore w:val="0"/>
        <w:numPr>
          <w:ilvl w:val="0"/>
          <w:numId w:val="0"/>
        </w:numPr>
        <w:kinsoku/>
        <w:wordWrap/>
        <w:overflowPunct/>
        <w:topLinePunct w:val="0"/>
        <w:autoSpaceDE/>
        <w:autoSpaceDN/>
        <w:bidi w:val="0"/>
        <w:spacing w:line="520" w:lineRule="exact"/>
        <w:jc w:val="both"/>
        <w:textAlignment w:val="auto"/>
        <w:outlineLvl w:val="9"/>
        <w:rPr>
          <w:rFonts w:hint="eastAsia" w:ascii="Cambria" w:hAnsi="Cambria" w:eastAsia="方正黑体简体" w:cs="Times New Roman"/>
          <w:b w:val="0"/>
          <w:bCs/>
          <w:kern w:val="0"/>
          <w:sz w:val="28"/>
          <w:szCs w:val="32"/>
          <w:lang w:val="en-US" w:eastAsia="zh-CN" w:bidi="ar-SA"/>
        </w:rPr>
      </w:pPr>
      <w:bookmarkStart w:id="139" w:name="_Toc5072"/>
      <w:bookmarkStart w:id="140" w:name="_Toc18796"/>
    </w:p>
    <w:p w14:paraId="526EE9CF">
      <w:pPr>
        <w:rPr>
          <w:rFonts w:hint="eastAsia" w:ascii="Cambria" w:hAnsi="Cambria" w:eastAsia="方正黑体简体" w:cs="Times New Roman"/>
          <w:b w:val="0"/>
          <w:bCs/>
          <w:kern w:val="0"/>
          <w:sz w:val="28"/>
          <w:szCs w:val="32"/>
          <w:lang w:val="en-US" w:eastAsia="zh-CN" w:bidi="ar-SA"/>
        </w:rPr>
      </w:pPr>
    </w:p>
    <w:p w14:paraId="7CCB698E">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141" w:name="_Toc7681"/>
      <w:r>
        <w:rPr>
          <w:rFonts w:hint="eastAsia" w:ascii="Cambria" w:hAnsi="Cambria" w:eastAsia="方正黑体简体" w:cs="Times New Roman"/>
          <w:b w:val="0"/>
          <w:bCs/>
          <w:kern w:val="0"/>
          <w:sz w:val="28"/>
          <w:szCs w:val="32"/>
          <w:lang w:val="en-US" w:eastAsia="zh-CN" w:bidi="ar-SA"/>
        </w:rPr>
        <w:t>第五章 加强基础设施建设 提升高质量发展保障能力</w:t>
      </w:r>
      <w:bookmarkEnd w:id="139"/>
      <w:bookmarkEnd w:id="140"/>
      <w:bookmarkEnd w:id="141"/>
    </w:p>
    <w:p w14:paraId="7405F3A1">
      <w:pPr>
        <w:pageBreakBefore w:val="0"/>
        <w:numPr>
          <w:ilvl w:val="0"/>
          <w:numId w:val="0"/>
        </w:numPr>
        <w:kinsoku/>
        <w:wordWrap/>
        <w:overflowPunct/>
        <w:topLinePunct w:val="0"/>
        <w:autoSpaceDE/>
        <w:autoSpaceDN/>
        <w:bidi w:val="0"/>
        <w:spacing w:line="520" w:lineRule="exact"/>
        <w:ind w:leftChars="0"/>
        <w:textAlignment w:val="auto"/>
        <w:rPr>
          <w:rFonts w:hint="eastAsia" w:ascii="仿宋" w:hAnsi="仿宋" w:eastAsia="仿宋" w:cs="仿宋"/>
          <w:sz w:val="24"/>
          <w:szCs w:val="24"/>
          <w:lang w:val="en-US" w:eastAsia="zh-CN"/>
        </w:rPr>
      </w:pPr>
    </w:p>
    <w:p w14:paraId="578D96F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snapToGrid w:val="0"/>
          <w:spacing w:val="0"/>
          <w:kern w:val="0"/>
          <w:sz w:val="24"/>
          <w:szCs w:val="24"/>
          <w:lang w:val="en-US" w:eastAsia="zh-CN"/>
        </w:rPr>
        <w:t>根据未来发展需要，聚焦关键领域和薄弱环节，加强基础设施建设，整体提升我区产业转移承接能力，保障高质量发展。</w:t>
      </w:r>
    </w:p>
    <w:p w14:paraId="32B41D6E">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42" w:name="_Toc22236"/>
      <w:bookmarkStart w:id="143" w:name="_Toc5742"/>
      <w:bookmarkStart w:id="144" w:name="_Toc17508"/>
      <w:bookmarkStart w:id="145" w:name="_Toc3773"/>
      <w:bookmarkStart w:id="146" w:name="_Toc9964"/>
      <w:bookmarkStart w:id="147" w:name="_Toc25262"/>
      <w:bookmarkStart w:id="148" w:name="_Toc21622"/>
      <w:r>
        <w:rPr>
          <w:rFonts w:hint="eastAsia" w:ascii="宋体" w:hAnsi="宋体" w:eastAsia="宋体" w:cs="宋体"/>
          <w:sz w:val="28"/>
          <w:szCs w:val="28"/>
          <w:lang w:val="en-US" w:eastAsia="zh-CN"/>
        </w:rPr>
        <w:t>第一节 提升传统基础设施建设</w:t>
      </w:r>
      <w:bookmarkEnd w:id="142"/>
      <w:bookmarkEnd w:id="143"/>
      <w:bookmarkEnd w:id="144"/>
    </w:p>
    <w:bookmarkEnd w:id="145"/>
    <w:bookmarkEnd w:id="146"/>
    <w:bookmarkEnd w:id="147"/>
    <w:p w14:paraId="1AA678BD">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bookmarkStart w:id="149" w:name="_Toc12821"/>
      <w:r>
        <w:rPr>
          <w:rFonts w:hint="eastAsia" w:ascii="仿宋" w:hAnsi="仿宋" w:eastAsia="仿宋" w:cs="仿宋"/>
          <w:b/>
          <w:bCs w:val="0"/>
          <w:sz w:val="24"/>
          <w:szCs w:val="24"/>
          <w:lang w:val="en-US" w:eastAsia="zh-CN"/>
        </w:rPr>
        <w:t>路网体系</w:t>
      </w:r>
      <w:bookmarkEnd w:id="148"/>
      <w:r>
        <w:rPr>
          <w:rFonts w:hint="eastAsia" w:ascii="仿宋" w:hAnsi="仿宋" w:eastAsia="仿宋" w:cs="仿宋"/>
          <w:b/>
          <w:bCs w:val="0"/>
          <w:sz w:val="24"/>
          <w:szCs w:val="24"/>
          <w:lang w:val="en-US" w:eastAsia="zh-CN"/>
        </w:rPr>
        <w:t>建设。</w:t>
      </w:r>
      <w:bookmarkEnd w:id="149"/>
      <w:bookmarkStart w:id="150" w:name="_Toc7205"/>
      <w:r>
        <w:rPr>
          <w:rFonts w:hint="eastAsia" w:ascii="仿宋" w:hAnsi="仿宋" w:eastAsia="仿宋" w:cs="仿宋"/>
          <w:b w:val="0"/>
          <w:bCs/>
          <w:color w:val="000000" w:themeColor="text1"/>
          <w:sz w:val="24"/>
          <w:szCs w:val="24"/>
          <w:lang w:val="en-US" w:eastAsia="zh-CN"/>
          <w14:textFill>
            <w14:solidFill>
              <w14:schemeClr w14:val="tx1"/>
            </w14:solidFill>
          </w14:textFill>
        </w:rPr>
        <w:t>进一步完善白云公路网建设，积极推动国道210白云鄂博—固阳段一级公路建设，国道335白云鄂博—明安镇公路建设进程，打通与友邻地区的交通通道，建设快捷、便利的口岸贸易大通道；积极筹划开通白云至包头、白云至呼市城际便捷通道，打造90分钟城市生活便捷区，推进通用机场建设和铁路电气化改造；统筹规划全域交通路网建设，打通断头、增加密度、提升道路畅达性，加快城区、矿区道路改造提升，构建六横六纵的交通网络，实现城区、矿区道路一体化发展，提升全区交通供给能力。</w:t>
      </w:r>
    </w:p>
    <w:p w14:paraId="48DFBF68">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bCs w:val="0"/>
          <w:sz w:val="24"/>
          <w:szCs w:val="24"/>
          <w:lang w:val="en-US" w:eastAsia="zh-CN"/>
        </w:rPr>
        <w:t>电网体系建设</w:t>
      </w:r>
      <w:bookmarkEnd w:id="150"/>
      <w:r>
        <w:rPr>
          <w:rFonts w:hint="eastAsia" w:ascii="仿宋" w:hAnsi="仿宋" w:eastAsia="仿宋" w:cs="仿宋"/>
          <w:b/>
          <w:bCs w:val="0"/>
          <w:sz w:val="24"/>
          <w:szCs w:val="24"/>
          <w:lang w:val="en-US" w:eastAsia="zh-CN"/>
        </w:rPr>
        <w:t>。</w:t>
      </w:r>
      <w:r>
        <w:rPr>
          <w:rFonts w:hint="eastAsia" w:ascii="仿宋" w:hAnsi="仿宋" w:eastAsia="仿宋" w:cs="仿宋"/>
          <w:b w:val="0"/>
          <w:bCs/>
          <w:sz w:val="24"/>
          <w:szCs w:val="24"/>
          <w:lang w:val="en-US" w:eastAsia="zh-CN"/>
        </w:rPr>
        <w:t>积极配合区域电网建设，重点推进新建</w:t>
      </w:r>
      <w:r>
        <w:rPr>
          <w:rFonts w:hint="eastAsia" w:ascii="仿宋" w:hAnsi="仿宋" w:eastAsia="仿宋" w:cs="仿宋"/>
          <w:b w:val="0"/>
          <w:bCs/>
          <w:color w:val="000000" w:themeColor="text1"/>
          <w:sz w:val="24"/>
          <w:szCs w:val="24"/>
          <w:lang w:val="en-US" w:eastAsia="zh-CN"/>
          <w14:textFill>
            <w14:solidFill>
              <w14:schemeClr w14:val="tx1"/>
            </w14:solidFill>
          </w14:textFill>
        </w:rPr>
        <w:t>乌兰变电站，以及架空线路、电缆线路等铺设，进一步加大电网建设力度，提升电力普遍服务水平。</w:t>
      </w:r>
      <w:bookmarkStart w:id="151" w:name="_Toc2212"/>
    </w:p>
    <w:p w14:paraId="2BAE3A8E">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bCs w:val="0"/>
          <w:color w:val="000000" w:themeColor="text1"/>
          <w:sz w:val="24"/>
          <w:szCs w:val="24"/>
          <w:lang w:val="en-US" w:eastAsia="zh-CN"/>
          <w14:textFill>
            <w14:solidFill>
              <w14:schemeClr w14:val="tx1"/>
            </w14:solidFill>
          </w14:textFill>
        </w:rPr>
        <w:t>水网体系建设</w:t>
      </w:r>
      <w:bookmarkEnd w:id="151"/>
      <w:r>
        <w:rPr>
          <w:rFonts w:hint="eastAsia" w:ascii="仿宋" w:hAnsi="仿宋" w:eastAsia="仿宋" w:cs="仿宋"/>
          <w:b/>
          <w:bCs w:val="0"/>
          <w:color w:val="000000" w:themeColor="text1"/>
          <w:sz w:val="24"/>
          <w:szCs w:val="24"/>
          <w:lang w:val="en-US" w:eastAsia="zh-CN"/>
          <w14:textFill>
            <w14:solidFill>
              <w14:schemeClr w14:val="tx1"/>
            </w14:solidFill>
          </w14:textFill>
        </w:rPr>
        <w:t>。</w:t>
      </w:r>
      <w:r>
        <w:rPr>
          <w:rFonts w:hint="eastAsia" w:ascii="仿宋" w:hAnsi="仿宋" w:eastAsia="仿宋" w:cs="仿宋"/>
          <w:b w:val="0"/>
          <w:bCs/>
          <w:color w:val="000000" w:themeColor="text1"/>
          <w:sz w:val="24"/>
          <w:szCs w:val="24"/>
          <w:lang w:val="en-US" w:eastAsia="zh-CN"/>
          <w14:textFill>
            <w14:solidFill>
              <w14:schemeClr w14:val="tx1"/>
            </w14:solidFill>
          </w14:textFill>
        </w:rPr>
        <w:t>全面统筹白云矿区水源地、水厂和输水管网等供水体系配套建设，全面解决生产生活用水问题。积极推进工业输水管线工程和工业园区供水管网建设工程，保障未来产业发展用水需求。大力推进供热基础设施改造项目、二次供热管网改造项目，进一步整合供热资源，加大供热管网改造和新建管网建设，提高集中供热普及率。加快推动城镇天然气管网建设，推动包头—白云矿区天然气输送管道建设、天然气管道入户工程建设，到2025年，实现管道燃气全覆盖。</w:t>
      </w:r>
      <w:bookmarkStart w:id="152" w:name="_Toc14388"/>
    </w:p>
    <w:tbl>
      <w:tblPr>
        <w:tblStyle w:val="13"/>
        <w:tblpPr w:leftFromText="180" w:rightFromText="180" w:vertAnchor="page" w:horzAnchor="page" w:tblpX="1522" w:tblpY="1274"/>
        <w:tblOverlap w:val="never"/>
        <w:tblW w:w="5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tblGrid>
      <w:tr w14:paraId="7865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5550" w:type="dxa"/>
            <w:tcBorders>
              <w:top w:val="single" w:color="auto" w:sz="4" w:space="0"/>
              <w:left w:val="single" w:color="auto" w:sz="4" w:space="0"/>
              <w:bottom w:val="single" w:color="auto" w:sz="4" w:space="0"/>
              <w:right w:val="single" w:color="auto" w:sz="4" w:space="0"/>
            </w:tcBorders>
            <w:noWrap/>
            <w:vAlign w:val="top"/>
          </w:tcPr>
          <w:p w14:paraId="12F646C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8  传统基础设施建设</w:t>
            </w:r>
          </w:p>
          <w:p w14:paraId="4A7FEDE3">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白固一级公路建设项目：</w:t>
            </w:r>
            <w:r>
              <w:rPr>
                <w:rFonts w:hint="eastAsia" w:ascii="仿宋" w:hAnsi="仿宋" w:eastAsia="仿宋" w:cs="仿宋"/>
                <w:b w:val="0"/>
                <w:bCs w:val="0"/>
                <w:sz w:val="24"/>
                <w:szCs w:val="24"/>
                <w:lang w:val="en-US" w:eastAsia="zh-CN"/>
              </w:rPr>
              <w:t>新建白云-固阳一级公路，打通包头到满都拉口岸运输通道；</w:t>
            </w:r>
          </w:p>
          <w:p w14:paraId="65C88871">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白云矿区环城线路建设项目：</w:t>
            </w:r>
            <w:r>
              <w:rPr>
                <w:rFonts w:hint="eastAsia" w:ascii="仿宋" w:hAnsi="仿宋" w:eastAsia="仿宋" w:cs="仿宋"/>
                <w:b w:val="0"/>
                <w:bCs w:val="0"/>
                <w:sz w:val="24"/>
                <w:szCs w:val="24"/>
                <w:lang w:val="en-US" w:eastAsia="zh-CN"/>
              </w:rPr>
              <w:t>打通白云周边主要交通通道，打造环白云旅游景观线路；</w:t>
            </w:r>
          </w:p>
          <w:p w14:paraId="7D0D2020">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包白铁路电气化改造工程：</w:t>
            </w:r>
            <w:r>
              <w:rPr>
                <w:rFonts w:hint="eastAsia" w:ascii="仿宋" w:hAnsi="仿宋" w:eastAsia="仿宋" w:cs="仿宋"/>
                <w:b w:val="0"/>
                <w:bCs w:val="0"/>
                <w:sz w:val="24"/>
                <w:szCs w:val="24"/>
                <w:lang w:val="en-US" w:eastAsia="zh-CN"/>
              </w:rPr>
              <w:t>对包白126公里铁路线路进行电气化改造施工；</w:t>
            </w:r>
          </w:p>
          <w:p w14:paraId="327833CD">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白云鄂博矿产资源综合利用循环经济工业园区基础设施及其配套设施项目：</w:t>
            </w:r>
            <w:r>
              <w:rPr>
                <w:rFonts w:hint="eastAsia" w:ascii="仿宋" w:hAnsi="仿宋" w:eastAsia="仿宋" w:cs="仿宋"/>
                <w:b w:val="0"/>
                <w:bCs w:val="0"/>
                <w:sz w:val="24"/>
                <w:szCs w:val="24"/>
                <w:lang w:val="en-US" w:eastAsia="zh-CN"/>
              </w:rPr>
              <w:t>在白云鄂博矿产资源综合利用循环经济工业园区内新建园区道路、管网及给排水系统、供配电系统等配套设施；</w:t>
            </w:r>
          </w:p>
          <w:p w14:paraId="4C20330F">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直饮水入户工程：</w:t>
            </w:r>
            <w:r>
              <w:rPr>
                <w:rFonts w:hint="eastAsia" w:ascii="仿宋" w:hAnsi="仿宋" w:eastAsia="仿宋" w:cs="仿宋"/>
                <w:b w:val="0"/>
                <w:bCs w:val="0"/>
                <w:sz w:val="24"/>
                <w:szCs w:val="24"/>
                <w:lang w:val="en-US" w:eastAsia="zh-CN"/>
              </w:rPr>
              <w:t>全面加强净水厂运营管理，启动实施直饮水入户试点工作；</w:t>
            </w:r>
          </w:p>
          <w:p w14:paraId="7C3DA431">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白云矿区乌兰变电站建设项目：</w:t>
            </w:r>
            <w:r>
              <w:rPr>
                <w:rFonts w:hint="eastAsia" w:ascii="仿宋" w:hAnsi="仿宋" w:eastAsia="仿宋" w:cs="仿宋"/>
                <w:b w:val="0"/>
                <w:bCs w:val="0"/>
                <w:sz w:val="24"/>
                <w:szCs w:val="24"/>
                <w:lang w:val="en-US" w:eastAsia="zh-CN"/>
              </w:rPr>
              <w:t>新建一座220KV变电站及相关配套设施建设；</w:t>
            </w:r>
          </w:p>
          <w:p w14:paraId="3BB198F1">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供水水源地至城区供水管网改造工程：</w:t>
            </w:r>
            <w:r>
              <w:rPr>
                <w:rFonts w:hint="eastAsia" w:ascii="仿宋" w:hAnsi="仿宋" w:eastAsia="仿宋" w:cs="仿宋"/>
                <w:b w:val="0"/>
                <w:bCs w:val="0"/>
                <w:sz w:val="24"/>
                <w:szCs w:val="24"/>
                <w:lang w:val="en-US" w:eastAsia="zh-CN"/>
              </w:rPr>
              <w:t>对白云鄂博矿区四个供水水源的到城区的供水管道进行改造；</w:t>
            </w:r>
          </w:p>
          <w:p w14:paraId="71D15FA6">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天然气管线输送及配套设施建设工程：</w:t>
            </w:r>
            <w:r>
              <w:rPr>
                <w:rFonts w:hint="eastAsia" w:ascii="仿宋" w:hAnsi="仿宋" w:eastAsia="仿宋" w:cs="仿宋"/>
                <w:b w:val="0"/>
                <w:bCs w:val="0"/>
                <w:sz w:val="24"/>
                <w:szCs w:val="24"/>
                <w:lang w:val="en-US" w:eastAsia="zh-CN"/>
              </w:rPr>
              <w:t>对固阳县至白云鄂博矿区约100公里天然气管线进行铺设，并对配套设施进行建设。</w:t>
            </w:r>
          </w:p>
          <w:p w14:paraId="3C7A8EA8">
            <w:pPr>
              <w:pStyle w:val="2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b w:val="0"/>
                <w:bCs w:val="0"/>
                <w:snapToGrid w:val="0"/>
                <w:spacing w:val="0"/>
                <w:kern w:val="0"/>
                <w:sz w:val="21"/>
                <w:szCs w:val="21"/>
                <w:lang w:val="en-US" w:eastAsia="zh-CN"/>
              </w:rPr>
            </w:pPr>
          </w:p>
        </w:tc>
      </w:tr>
    </w:tbl>
    <w:p w14:paraId="608476A8">
      <w:pPr>
        <w:rPr>
          <w:rFonts w:hint="eastAsia"/>
          <w:lang w:val="en-US" w:eastAsia="zh-CN"/>
        </w:rPr>
      </w:pPr>
    </w:p>
    <w:p w14:paraId="0E63F539">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53" w:name="_Toc10705"/>
      <w:bookmarkStart w:id="154" w:name="_Toc16886"/>
      <w:bookmarkStart w:id="155" w:name="_Toc6952"/>
      <w:r>
        <w:rPr>
          <w:rFonts w:hint="eastAsia" w:ascii="宋体" w:hAnsi="宋体" w:eastAsia="宋体" w:cs="宋体"/>
          <w:sz w:val="28"/>
          <w:szCs w:val="28"/>
          <w:lang w:val="en-US" w:eastAsia="zh-CN"/>
        </w:rPr>
        <w:t>第二节 加快新型基础设施建设</w:t>
      </w:r>
      <w:bookmarkEnd w:id="153"/>
      <w:bookmarkEnd w:id="154"/>
      <w:bookmarkEnd w:id="155"/>
    </w:p>
    <w:bookmarkEnd w:id="152"/>
    <w:p w14:paraId="12646CEE">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kern w:val="2"/>
          <w:sz w:val="24"/>
          <w:szCs w:val="24"/>
          <w:lang w:val="en-US" w:eastAsia="zh-CN" w:bidi="ar-SA"/>
        </w:rPr>
        <w:t>加快推进5G基站布局和5G网络全覆盖，实现光纤入户率达到100%；大幅提升移动宽带网络速率，围绕打造智慧园区，加快工业互联网、工业云建设；大力推进工业数字化、信息化、智能化发展，构建跨行业、跨领域工业互联网平台，建立线上线下联动供需体系，实现产业链、供应链供需对接和高效协作；积极打造5G应用场景，重点推进“5G+工业互联网”在科技研发、产品设计、智能制造、物流配送、电子商务等方面的深度应用，大力提升主导产业数控化率和智能制造水平，加快实施“互联网＋产业”行动计划；构建智慧综合服务管理平台，加快园区管理数字化转型，全面提升园区管理服务水平。围绕民生服务、公共安全、社会信用等领域，探索区块链技术应用，提升社会管理、生产监管效率。</w:t>
      </w:r>
      <w:r>
        <w:rPr>
          <w:rFonts w:hint="eastAsia" w:ascii="仿宋" w:hAnsi="仿宋" w:eastAsia="仿宋" w:cs="仿宋"/>
          <w:color w:val="auto"/>
          <w:sz w:val="24"/>
          <w:szCs w:val="24"/>
          <w:lang w:val="en-US" w:eastAsia="en-US"/>
        </w:rPr>
        <w:t>优先推广公共交通领域新能源汽车</w:t>
      </w:r>
      <w:r>
        <w:rPr>
          <w:rFonts w:hint="eastAsia" w:ascii="仿宋" w:hAnsi="仿宋" w:eastAsia="仿宋" w:cs="仿宋"/>
          <w:color w:val="auto"/>
          <w:sz w:val="24"/>
          <w:szCs w:val="24"/>
          <w:lang w:val="en-US" w:eastAsia="zh-CN"/>
        </w:rPr>
        <w:t>，</w:t>
      </w:r>
      <w:r>
        <w:rPr>
          <w:rFonts w:hint="eastAsia" w:ascii="仿宋" w:hAnsi="仿宋" w:eastAsia="仿宋" w:cs="仿宋"/>
          <w:sz w:val="24"/>
          <w:szCs w:val="24"/>
          <w:lang w:eastAsia="zh-CN"/>
        </w:rPr>
        <w:t>优先规划布局</w:t>
      </w:r>
      <w:r>
        <w:rPr>
          <w:rFonts w:hint="eastAsia" w:ascii="仿宋" w:hAnsi="仿宋" w:eastAsia="仿宋" w:cs="仿宋"/>
          <w:sz w:val="24"/>
          <w:szCs w:val="24"/>
          <w:lang w:val="en-US" w:eastAsia="zh-CN"/>
        </w:rPr>
        <w:t>公共停车场新能源汽车充换电网和加氢站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推广</w:t>
      </w:r>
      <w:r>
        <w:rPr>
          <w:rFonts w:hint="eastAsia" w:ascii="仿宋" w:hAnsi="仿宋" w:eastAsia="仿宋" w:cs="仿宋"/>
          <w:sz w:val="24"/>
          <w:szCs w:val="24"/>
        </w:rPr>
        <w:t>充电车位一桩多用、相邻共用、分时共享，提高充电桩使用效率。</w:t>
      </w:r>
    </w:p>
    <w:p w14:paraId="500562AB">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56" w:name="_Toc27177"/>
      <w:bookmarkStart w:id="157" w:name="_Toc16263"/>
      <w:bookmarkStart w:id="158" w:name="_Toc24703"/>
      <w:bookmarkStart w:id="159" w:name="_Toc11547"/>
      <w:r>
        <w:rPr>
          <w:rFonts w:hint="eastAsia" w:ascii="宋体" w:hAnsi="宋体" w:eastAsia="宋体" w:cs="宋体"/>
          <w:sz w:val="28"/>
          <w:szCs w:val="28"/>
          <w:lang w:val="en-US" w:eastAsia="zh-CN"/>
        </w:rPr>
        <w:t>第三节 完善城镇基础设施建设</w:t>
      </w:r>
      <w:bookmarkEnd w:id="156"/>
      <w:bookmarkEnd w:id="157"/>
      <w:bookmarkEnd w:id="158"/>
      <w:bookmarkEnd w:id="159"/>
    </w:p>
    <w:p w14:paraId="104EA4E7">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bookmarkStart w:id="160" w:name="_Toc17670"/>
      <w:bookmarkStart w:id="161" w:name="_Toc26"/>
      <w:bookmarkStart w:id="162" w:name="_Toc19281"/>
      <w:r>
        <w:rPr>
          <w:rFonts w:hint="eastAsia" w:ascii="仿宋" w:hAnsi="仿宋" w:eastAsia="仿宋" w:cs="仿宋"/>
          <w:b w:val="0"/>
          <w:bCs w:val="0"/>
          <w:kern w:val="2"/>
          <w:sz w:val="24"/>
          <w:szCs w:val="24"/>
          <w:lang w:val="en-US" w:eastAsia="zh-CN" w:bidi="ar-SA"/>
        </w:rPr>
        <w:t>加快城区基础设施升级改造，聚焦新型基础设施建设，全力拓展产业发展空间，为高质量发展做好支撑。按照“立足长远、适度超前、补齐短板、综合配套”原则，整体提升城区基础设施承载力，鼓励引导社会资本积极参与道路、电力、燃气、供热、供水、通信、消防、防汛、治污等基础设施建设，提升重大项目承接能力。</w:t>
      </w:r>
      <w:bookmarkEnd w:id="160"/>
      <w:bookmarkEnd w:id="161"/>
      <w:r>
        <w:rPr>
          <w:rFonts w:hint="eastAsia" w:ascii="仿宋" w:hAnsi="仿宋" w:eastAsia="仿宋" w:cs="仿宋"/>
          <w:b w:val="0"/>
          <w:bCs/>
          <w:color w:val="000000" w:themeColor="text1"/>
          <w:sz w:val="24"/>
          <w:szCs w:val="24"/>
          <w:lang w:val="en-US" w:eastAsia="zh-CN"/>
          <w14:textFill>
            <w14:solidFill>
              <w14:schemeClr w14:val="tx1"/>
            </w14:solidFill>
          </w14:textFill>
        </w:rPr>
        <w:t>实施城市更新行动，深化“三百米见绿，五百米见园”绿化行动，实施城市生态修复功能完善工程，加强老旧小区房屋改造，健全城市综合防灾体系，建设韧性城区。</w:t>
      </w:r>
      <w:bookmarkEnd w:id="162"/>
      <w:r>
        <w:rPr>
          <w:rFonts w:hint="eastAsia" w:ascii="仿宋" w:hAnsi="仿宋" w:eastAsia="仿宋" w:cs="仿宋"/>
          <w:b w:val="0"/>
          <w:bCs/>
          <w:color w:val="000000" w:themeColor="text1"/>
          <w:sz w:val="24"/>
          <w:szCs w:val="24"/>
          <w:lang w:val="en-US" w:eastAsia="zh-CN"/>
          <w14:textFill>
            <w14:solidFill>
              <w14:schemeClr w14:val="tx1"/>
            </w14:solidFill>
          </w14:textFill>
        </w:rPr>
        <w:t>大力发展城镇道路机械化清扫，加大生活区、商业娱乐区以及主次干道、公园绿地等公厕布局密度，合理布局压缩式垃圾转运站，全面实现生活垃圾、建筑垃圾分类和资源化利用。全面推广服务外包、政府第三方服务购买方式，大力推进标准化物业管理，推动环卫服务业市场化运行。到2025年，城镇基础设施建设实现新突破，产业转移承接能力大幅提升。</w:t>
      </w:r>
    </w:p>
    <w:tbl>
      <w:tblPr>
        <w:tblStyle w:val="13"/>
        <w:tblW w:w="5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0"/>
      </w:tblGrid>
      <w:tr w14:paraId="23A0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0" w:type="dxa"/>
            <w:tcBorders>
              <w:top w:val="single" w:color="auto" w:sz="4" w:space="0"/>
              <w:left w:val="single" w:color="auto" w:sz="4" w:space="0"/>
              <w:bottom w:val="single" w:color="auto" w:sz="4" w:space="0"/>
              <w:right w:val="single" w:color="auto" w:sz="4" w:space="0"/>
            </w:tcBorders>
            <w:noWrap/>
            <w:vAlign w:val="top"/>
          </w:tcPr>
          <w:p w14:paraId="5F385AF9">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9  城镇基础设施建设</w:t>
            </w:r>
          </w:p>
          <w:p w14:paraId="72A4A74D">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z w:val="24"/>
                <w:szCs w:val="24"/>
                <w:lang w:val="en-US" w:eastAsia="zh-CN"/>
              </w:rPr>
              <w:t>白云鄂博矿区城区新建绿道项目：</w:t>
            </w:r>
            <w:r>
              <w:rPr>
                <w:rFonts w:hint="eastAsia" w:ascii="仿宋" w:hAnsi="仿宋" w:eastAsia="仿宋" w:cs="仿宋"/>
                <w:snapToGrid w:val="0"/>
                <w:spacing w:val="0"/>
                <w:kern w:val="0"/>
                <w:sz w:val="24"/>
                <w:szCs w:val="24"/>
                <w:lang w:val="en-US" w:eastAsia="zh-CN"/>
              </w:rPr>
              <w:t>对白云鄂博矿区城区15.5公里进行绿道建设；新建站前路0.9公里；</w:t>
            </w:r>
          </w:p>
          <w:p w14:paraId="1E526E81">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市政基础设施维护工程</w:t>
            </w:r>
            <w:r>
              <w:rPr>
                <w:rFonts w:hint="eastAsia" w:ascii="仿宋" w:hAnsi="仿宋" w:eastAsia="仿宋" w:cs="仿宋"/>
                <w:snapToGrid w:val="0"/>
                <w:spacing w:val="0"/>
                <w:kern w:val="0"/>
                <w:sz w:val="24"/>
                <w:szCs w:val="24"/>
                <w:lang w:val="en-US" w:eastAsia="zh-CN"/>
              </w:rPr>
              <w:t>：对破损小街巷、路灯及井盖等基础设施进行日常维护更新；</w:t>
            </w:r>
          </w:p>
          <w:p w14:paraId="1D8DDECC">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绿化景观提升工程：</w:t>
            </w:r>
            <w:r>
              <w:rPr>
                <w:rFonts w:hint="eastAsia" w:ascii="仿宋" w:hAnsi="仿宋" w:eastAsia="仿宋" w:cs="仿宋"/>
                <w:b w:val="0"/>
                <w:bCs w:val="0"/>
                <w:snapToGrid w:val="0"/>
                <w:spacing w:val="0"/>
                <w:kern w:val="0"/>
                <w:sz w:val="24"/>
                <w:szCs w:val="24"/>
                <w:lang w:val="en-US" w:eastAsia="zh-CN"/>
              </w:rPr>
              <w:t>对地质道东侧叶腾水库至矿山路派出所东侧10000平米区域进行绿化及景观改造；</w:t>
            </w:r>
          </w:p>
          <w:p w14:paraId="2D8939BE">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白云鄂博矿区通用机场建设项目：</w:t>
            </w:r>
            <w:r>
              <w:rPr>
                <w:rFonts w:hint="eastAsia" w:ascii="仿宋" w:hAnsi="仿宋" w:eastAsia="仿宋" w:cs="仿宋"/>
                <w:b w:val="0"/>
                <w:bCs w:val="0"/>
                <w:snapToGrid w:val="0"/>
                <w:spacing w:val="0"/>
                <w:kern w:val="0"/>
                <w:sz w:val="24"/>
                <w:szCs w:val="24"/>
                <w:lang w:val="en-US" w:eastAsia="zh-CN"/>
              </w:rPr>
              <w:t>规划建设白云鄂博矿区通运机场。</w:t>
            </w:r>
          </w:p>
        </w:tc>
      </w:tr>
    </w:tbl>
    <w:p w14:paraId="4707ED63">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163" w:name="_Toc29252"/>
      <w:bookmarkStart w:id="164" w:name="_Toc25152"/>
      <w:bookmarkStart w:id="165" w:name="_Toc12296"/>
      <w:r>
        <w:rPr>
          <w:rFonts w:hint="eastAsia" w:ascii="Cambria" w:hAnsi="Cambria" w:eastAsia="方正黑体简体" w:cs="Times New Roman"/>
          <w:b w:val="0"/>
          <w:bCs/>
          <w:kern w:val="0"/>
          <w:sz w:val="28"/>
          <w:szCs w:val="32"/>
          <w:lang w:val="en-US" w:eastAsia="zh-CN" w:bidi="ar-SA"/>
        </w:rPr>
        <w:t>第六章 坚持扩大内需战略基点 主动融入国内国际双循环</w:t>
      </w:r>
      <w:bookmarkEnd w:id="163"/>
      <w:bookmarkEnd w:id="164"/>
      <w:bookmarkEnd w:id="165"/>
    </w:p>
    <w:p w14:paraId="47E99C50">
      <w:pPr>
        <w:pageBreakBefore w:val="0"/>
        <w:numPr>
          <w:ilvl w:val="0"/>
          <w:numId w:val="0"/>
        </w:numPr>
        <w:kinsoku/>
        <w:wordWrap/>
        <w:overflowPunct/>
        <w:topLinePunct w:val="0"/>
        <w:autoSpaceDE/>
        <w:autoSpaceDN/>
        <w:bidi w:val="0"/>
        <w:spacing w:line="520" w:lineRule="exact"/>
        <w:ind w:leftChars="0"/>
        <w:textAlignment w:val="auto"/>
        <w:rPr>
          <w:rFonts w:hint="eastAsia" w:ascii="仿宋" w:hAnsi="仿宋" w:eastAsia="仿宋" w:cs="仿宋"/>
          <w:sz w:val="24"/>
          <w:szCs w:val="24"/>
          <w:lang w:val="en-US" w:eastAsia="zh-CN"/>
        </w:rPr>
      </w:pPr>
    </w:p>
    <w:p w14:paraId="1EEFBCC4">
      <w:pPr>
        <w:pStyle w:val="26"/>
        <w:pageBreakBefore w:val="0"/>
        <w:kinsoku/>
        <w:wordWrap/>
        <w:overflowPunct/>
        <w:topLinePunct w:val="0"/>
        <w:autoSpaceDE/>
        <w:autoSpaceDN/>
        <w:bidi w:val="0"/>
        <w:spacing w:line="520" w:lineRule="exact"/>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坚持实施扩大内需战略，主动参与区域经济合作，建设对外开放新高地，坚持深化供给侧结构性改革，激发投资和消费区，不断提升经济发展的自主性、可持续性，增强韧性，推动我区经济持续平稳健康发展。</w:t>
      </w:r>
    </w:p>
    <w:p w14:paraId="20091CB6">
      <w:pPr>
        <w:pStyle w:val="4"/>
        <w:pageBreakBefore w:val="0"/>
        <w:numPr>
          <w:ilvl w:val="0"/>
          <w:numId w:val="3"/>
        </w:numPr>
        <w:kinsoku/>
        <w:wordWrap/>
        <w:overflowPunct/>
        <w:topLinePunct w:val="0"/>
        <w:autoSpaceDE/>
        <w:autoSpaceDN/>
        <w:bidi w:val="0"/>
        <w:spacing w:line="520" w:lineRule="exact"/>
        <w:jc w:val="center"/>
        <w:textAlignment w:val="auto"/>
        <w:rPr>
          <w:rFonts w:hint="eastAsia" w:ascii="宋体" w:hAnsi="宋体" w:eastAsia="宋体" w:cs="宋体"/>
          <w:b/>
          <w:bCs/>
          <w:sz w:val="28"/>
          <w:szCs w:val="28"/>
          <w:lang w:val="en-US" w:eastAsia="zh-CN"/>
        </w:rPr>
      </w:pPr>
      <w:bookmarkStart w:id="166" w:name="_Toc29566"/>
      <w:r>
        <w:rPr>
          <w:rFonts w:hint="eastAsia" w:ascii="宋体" w:hAnsi="宋体" w:cs="宋体"/>
          <w:b/>
          <w:bCs/>
          <w:sz w:val="28"/>
          <w:szCs w:val="28"/>
          <w:lang w:val="en-US" w:eastAsia="zh-CN"/>
        </w:rPr>
        <w:t xml:space="preserve"> </w:t>
      </w:r>
      <w:r>
        <w:rPr>
          <w:rFonts w:hint="eastAsia" w:ascii="宋体" w:hAnsi="宋体" w:eastAsia="宋体" w:cs="宋体"/>
          <w:b/>
          <w:bCs/>
          <w:sz w:val="28"/>
          <w:szCs w:val="28"/>
          <w:lang w:val="en-US" w:eastAsia="zh-CN"/>
        </w:rPr>
        <w:t xml:space="preserve"> </w:t>
      </w:r>
      <w:bookmarkEnd w:id="166"/>
      <w:bookmarkStart w:id="167" w:name="_Toc7052"/>
      <w:bookmarkStart w:id="168" w:name="_Toc11053"/>
      <w:bookmarkStart w:id="169" w:name="_Toc9850"/>
      <w:r>
        <w:rPr>
          <w:rFonts w:hint="eastAsia" w:ascii="宋体" w:hAnsi="宋体" w:eastAsia="宋体" w:cs="宋体"/>
          <w:b/>
          <w:bCs/>
          <w:sz w:val="28"/>
          <w:szCs w:val="28"/>
          <w:lang w:val="en-US" w:eastAsia="zh-CN"/>
        </w:rPr>
        <w:t>推动消费扩容提质</w:t>
      </w:r>
      <w:bookmarkEnd w:id="167"/>
      <w:bookmarkEnd w:id="168"/>
      <w:bookmarkEnd w:id="169"/>
    </w:p>
    <w:p w14:paraId="6FA40F0F">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立足白云矿区消费人口规模较小的基本特点，增大外来人口流入规模，不断提升消费环境，大力发展特色旅游业、餐饮业、服务业等，推动消费提质扩容。顺应和把握未来消费升级大趋势，</w:t>
      </w:r>
      <w:r>
        <w:rPr>
          <w:rFonts w:hint="eastAsia" w:ascii="仿宋" w:hAnsi="仿宋" w:eastAsia="仿宋" w:cs="仿宋"/>
          <w:sz w:val="24"/>
          <w:szCs w:val="24"/>
        </w:rPr>
        <w:t>重点</w:t>
      </w:r>
      <w:r>
        <w:rPr>
          <w:rFonts w:hint="eastAsia" w:ascii="仿宋" w:hAnsi="仿宋" w:eastAsia="仿宋" w:cs="仿宋"/>
          <w:sz w:val="24"/>
          <w:szCs w:val="24"/>
          <w:lang w:val="en-US" w:eastAsia="zh-CN"/>
        </w:rPr>
        <w:t>开拓服务消费、信</w:t>
      </w:r>
      <w:r>
        <w:rPr>
          <w:rFonts w:hint="eastAsia" w:ascii="仿宋" w:hAnsi="仿宋" w:eastAsia="仿宋" w:cs="仿宋"/>
          <w:sz w:val="24"/>
          <w:szCs w:val="24"/>
        </w:rPr>
        <w:t>息消费、绿色消费、时尚消费、品质消费</w:t>
      </w:r>
      <w:r>
        <w:rPr>
          <w:rFonts w:hint="eastAsia" w:ascii="仿宋" w:hAnsi="仿宋" w:eastAsia="仿宋" w:cs="仿宋"/>
          <w:sz w:val="24"/>
          <w:szCs w:val="24"/>
          <w:lang w:eastAsia="zh-CN"/>
        </w:rPr>
        <w:t>，</w:t>
      </w:r>
      <w:r>
        <w:rPr>
          <w:rFonts w:hint="eastAsia" w:ascii="仿宋" w:hAnsi="仿宋" w:eastAsia="仿宋" w:cs="仿宋"/>
          <w:sz w:val="24"/>
          <w:szCs w:val="24"/>
        </w:rPr>
        <w:t>强化消费对经济发展的稳定器作用，不断改善消费环境，优化消费市场供给，引导消费需求增加，实现需求引领和供给侧结构性改革的</w:t>
      </w:r>
      <w:r>
        <w:rPr>
          <w:rFonts w:hint="eastAsia" w:ascii="仿宋" w:hAnsi="仿宋" w:eastAsia="仿宋" w:cs="仿宋"/>
          <w:sz w:val="24"/>
          <w:szCs w:val="24"/>
          <w:lang w:val="en-US" w:eastAsia="zh-CN"/>
        </w:rPr>
        <w:t>有机</w:t>
      </w:r>
      <w:r>
        <w:rPr>
          <w:rFonts w:hint="eastAsia" w:ascii="仿宋" w:hAnsi="仿宋" w:eastAsia="仿宋" w:cs="仿宋"/>
          <w:sz w:val="24"/>
          <w:szCs w:val="24"/>
        </w:rPr>
        <w:t>衔接。培育新的消费增长点，带动消费结构升级。加强供应链、服务链合作，激发市场消费潜力。</w:t>
      </w:r>
      <w:r>
        <w:rPr>
          <w:rFonts w:hint="eastAsia" w:ascii="仿宋" w:hAnsi="仿宋" w:eastAsia="仿宋" w:cs="仿宋"/>
          <w:sz w:val="24"/>
          <w:szCs w:val="24"/>
          <w:lang w:val="en-US" w:eastAsia="zh-CN"/>
        </w:rPr>
        <w:t>鼓励</w:t>
      </w:r>
      <w:r>
        <w:rPr>
          <w:rFonts w:hint="eastAsia" w:ascii="仿宋" w:hAnsi="仿宋" w:eastAsia="仿宋" w:cs="仿宋"/>
          <w:sz w:val="24"/>
          <w:szCs w:val="24"/>
        </w:rPr>
        <w:t>数字化消费，发展数字化店铺和个性化定制消费，</w:t>
      </w:r>
      <w:r>
        <w:rPr>
          <w:rFonts w:hint="eastAsia" w:ascii="仿宋" w:hAnsi="仿宋" w:eastAsia="仿宋" w:cs="仿宋"/>
          <w:sz w:val="24"/>
          <w:szCs w:val="24"/>
          <w:lang w:val="en-US" w:eastAsia="zh-CN"/>
        </w:rPr>
        <w:t>以</w:t>
      </w:r>
      <w:r>
        <w:rPr>
          <w:rFonts w:hint="eastAsia" w:ascii="仿宋" w:hAnsi="仿宋" w:eastAsia="仿宋" w:cs="仿宋"/>
          <w:sz w:val="24"/>
          <w:szCs w:val="24"/>
        </w:rPr>
        <w:t>满足不同群体不断升级的多层次、多样化需求。</w:t>
      </w:r>
    </w:p>
    <w:p w14:paraId="78B314A0">
      <w:pPr>
        <w:pStyle w:val="4"/>
        <w:pageBreakBefore w:val="0"/>
        <w:numPr>
          <w:ilvl w:val="0"/>
          <w:numId w:val="3"/>
        </w:numPr>
        <w:kinsoku/>
        <w:wordWrap/>
        <w:overflowPunct/>
        <w:topLinePunct w:val="0"/>
        <w:autoSpaceDE/>
        <w:autoSpaceDN/>
        <w:bidi w:val="0"/>
        <w:spacing w:line="520" w:lineRule="exact"/>
        <w:jc w:val="center"/>
        <w:textAlignment w:val="auto"/>
        <w:rPr>
          <w:rFonts w:hint="eastAsia" w:ascii="宋体" w:hAnsi="宋体" w:eastAsia="宋体" w:cs="宋体"/>
          <w:b/>
          <w:bCs/>
          <w:sz w:val="28"/>
          <w:szCs w:val="28"/>
          <w:lang w:val="en-US" w:eastAsia="zh-CN"/>
        </w:rPr>
      </w:pPr>
      <w:bookmarkStart w:id="170" w:name="_Toc25646"/>
      <w:r>
        <w:rPr>
          <w:rFonts w:hint="eastAsia" w:ascii="宋体" w:hAnsi="宋体" w:cs="宋体"/>
          <w:b/>
          <w:bCs/>
          <w:sz w:val="28"/>
          <w:szCs w:val="28"/>
          <w:lang w:val="en-US" w:eastAsia="zh-CN"/>
        </w:rPr>
        <w:t xml:space="preserve"> </w:t>
      </w:r>
      <w:bookmarkStart w:id="171" w:name="_Toc21175"/>
      <w:bookmarkStart w:id="172" w:name="_Toc2279"/>
      <w:r>
        <w:rPr>
          <w:rFonts w:hint="eastAsia" w:ascii="宋体" w:hAnsi="宋体" w:eastAsia="宋体" w:cs="宋体"/>
          <w:b/>
          <w:bCs/>
          <w:sz w:val="28"/>
          <w:szCs w:val="28"/>
          <w:lang w:val="en-US" w:eastAsia="zh-CN"/>
        </w:rPr>
        <w:t>积极扩大有效投资</w:t>
      </w:r>
      <w:bookmarkEnd w:id="170"/>
      <w:bookmarkEnd w:id="171"/>
      <w:bookmarkEnd w:id="172"/>
    </w:p>
    <w:p w14:paraId="085B1EAC">
      <w:pPr>
        <w:pageBreakBefore w:val="0"/>
        <w:numPr>
          <w:ilvl w:val="0"/>
          <w:numId w:val="0"/>
        </w:numPr>
        <w:tabs>
          <w:tab w:val="left" w:pos="0"/>
        </w:tabs>
        <w:kinsoku/>
        <w:wordWrap/>
        <w:overflowPunct/>
        <w:topLinePunct w:val="0"/>
        <w:autoSpaceDE/>
        <w:autoSpaceDN/>
        <w:bidi w:val="0"/>
        <w:spacing w:line="520" w:lineRule="exact"/>
        <w:ind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精准把握自治区、包头市、白云矿区投资政策导向，做好科技创新、新型基建、数字产业、传统产业转型升级、战略性新兴产业等关键领域的战略投资，积极对接国家支持投向，强化资金争取，进一步扩大社会事业、市政基础设施建设、公共卫生建设、应急物资储备体系等重点领域的投资力度，补齐疫情防控基础设施投资短板。加强重点项目库建设，做好重大项目谋划、跟踪与服务，发挥好重大项目的“压舱石”作用。用好、用足政府专项债券和各类基金，发挥好政府专项债券、基金的牵引、撬动功能，科学调度，把控项目进程。进一步拓宽项目融资渠道，严格把握专项债券投向，精准聚焦投资重点，确保形成有效投资。</w:t>
      </w:r>
    </w:p>
    <w:p w14:paraId="7F7112AA">
      <w:pPr>
        <w:pStyle w:val="4"/>
        <w:pageBreakBefore w:val="0"/>
        <w:numPr>
          <w:ilvl w:val="0"/>
          <w:numId w:val="3"/>
        </w:numPr>
        <w:kinsoku/>
        <w:wordWrap/>
        <w:overflowPunct/>
        <w:topLinePunct w:val="0"/>
        <w:autoSpaceDE/>
        <w:autoSpaceDN/>
        <w:bidi w:val="0"/>
        <w:spacing w:line="520" w:lineRule="exact"/>
        <w:jc w:val="center"/>
        <w:textAlignment w:val="auto"/>
        <w:rPr>
          <w:rFonts w:hint="eastAsia" w:ascii="宋体" w:hAnsi="宋体" w:eastAsia="宋体" w:cs="宋体"/>
          <w:b/>
          <w:bCs/>
          <w:sz w:val="28"/>
          <w:szCs w:val="28"/>
          <w:lang w:val="en-US" w:eastAsia="zh-CN"/>
        </w:rPr>
      </w:pPr>
      <w:bookmarkStart w:id="173" w:name="_Toc8885"/>
      <w:bookmarkStart w:id="174" w:name="_Toc23593"/>
      <w:bookmarkStart w:id="175" w:name="_Toc7229"/>
      <w:r>
        <w:rPr>
          <w:rFonts w:hint="eastAsia" w:ascii="宋体" w:hAnsi="宋体" w:cs="宋体"/>
          <w:b/>
          <w:bCs/>
          <w:sz w:val="28"/>
          <w:szCs w:val="28"/>
          <w:lang w:val="en-US" w:eastAsia="zh-CN"/>
        </w:rPr>
        <w:t xml:space="preserve"> </w:t>
      </w:r>
      <w:bookmarkStart w:id="176" w:name="_Toc30340"/>
      <w:bookmarkStart w:id="177" w:name="_Toc25341"/>
      <w:r>
        <w:rPr>
          <w:rFonts w:hint="eastAsia" w:ascii="宋体" w:hAnsi="宋体" w:eastAsia="宋体" w:cs="宋体"/>
          <w:b/>
          <w:bCs/>
          <w:sz w:val="28"/>
          <w:szCs w:val="28"/>
          <w:lang w:val="en-US" w:eastAsia="zh-CN"/>
        </w:rPr>
        <w:t>壮大发展“飞地经济”</w:t>
      </w:r>
      <w:bookmarkEnd w:id="173"/>
      <w:bookmarkEnd w:id="174"/>
      <w:bookmarkEnd w:id="175"/>
      <w:bookmarkEnd w:id="176"/>
      <w:bookmarkEnd w:id="177"/>
    </w:p>
    <w:p w14:paraId="54662E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8640"/>
        </w:tabs>
        <w:kinsoku/>
        <w:wordWrap/>
        <w:overflowPunct/>
        <w:topLinePunct w:val="0"/>
        <w:autoSpaceDE/>
        <w:autoSpaceDN/>
        <w:bidi w:val="0"/>
        <w:adjustRightInd/>
        <w:snapToGrid w:val="0"/>
        <w:spacing w:line="520" w:lineRule="exact"/>
        <w:ind w:left="0" w:firstLine="480" w:firstLineChars="200"/>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snapToGrid w:val="0"/>
          <w:spacing w:val="0"/>
          <w:kern w:val="0"/>
          <w:sz w:val="24"/>
          <w:szCs w:val="24"/>
          <w:lang w:val="en-US" w:eastAsia="zh-CN"/>
        </w:rPr>
        <w:t>紧抓</w:t>
      </w:r>
      <w:r>
        <w:rPr>
          <w:rFonts w:hint="eastAsia" w:ascii="仿宋" w:hAnsi="仿宋" w:eastAsia="仿宋" w:cs="仿宋"/>
          <w:snapToGrid w:val="0"/>
          <w:spacing w:val="0"/>
          <w:kern w:val="0"/>
          <w:sz w:val="24"/>
          <w:szCs w:val="24"/>
        </w:rPr>
        <w:t>包头市打造“对外开放新高地”</w:t>
      </w:r>
      <w:r>
        <w:rPr>
          <w:rFonts w:hint="eastAsia" w:ascii="仿宋" w:hAnsi="仿宋" w:eastAsia="仿宋" w:cs="仿宋"/>
          <w:snapToGrid w:val="0"/>
          <w:spacing w:val="0"/>
          <w:kern w:val="0"/>
          <w:sz w:val="24"/>
          <w:szCs w:val="24"/>
          <w:lang w:eastAsia="zh-CN"/>
        </w:rPr>
        <w:t>的</w:t>
      </w:r>
      <w:r>
        <w:rPr>
          <w:rFonts w:hint="eastAsia" w:ascii="仿宋" w:hAnsi="仿宋" w:eastAsia="仿宋" w:cs="仿宋"/>
          <w:snapToGrid w:val="0"/>
          <w:spacing w:val="0"/>
          <w:kern w:val="0"/>
          <w:sz w:val="24"/>
          <w:szCs w:val="24"/>
          <w:lang w:val="en-US" w:eastAsia="zh-CN"/>
        </w:rPr>
        <w:t>发展契机</w:t>
      </w:r>
      <w:r>
        <w:rPr>
          <w:rFonts w:hint="eastAsia" w:ascii="仿宋" w:hAnsi="仿宋" w:eastAsia="仿宋" w:cs="仿宋"/>
          <w:snapToGrid w:val="0"/>
          <w:spacing w:val="0"/>
          <w:kern w:val="0"/>
          <w:sz w:val="24"/>
          <w:szCs w:val="24"/>
        </w:rPr>
        <w:t>，</w:t>
      </w:r>
      <w:r>
        <w:rPr>
          <w:rFonts w:hint="eastAsia" w:ascii="仿宋" w:hAnsi="仿宋" w:eastAsia="仿宋" w:cs="仿宋"/>
          <w:snapToGrid w:val="0"/>
          <w:spacing w:val="0"/>
          <w:kern w:val="0"/>
          <w:sz w:val="24"/>
          <w:szCs w:val="24"/>
          <w:lang w:eastAsia="zh-CN"/>
        </w:rPr>
        <w:t>创新发展飞地经济，充分发挥</w:t>
      </w:r>
      <w:r>
        <w:rPr>
          <w:rFonts w:hint="eastAsia" w:ascii="仿宋" w:hAnsi="仿宋" w:eastAsia="仿宋" w:cs="仿宋"/>
          <w:sz w:val="24"/>
          <w:szCs w:val="24"/>
        </w:rPr>
        <w:t>《白云鄂博矿区关于加快飞地经济发展的若干扶持政策》</w:t>
      </w:r>
      <w:r>
        <w:rPr>
          <w:rFonts w:hint="eastAsia" w:ascii="仿宋" w:hAnsi="仿宋" w:eastAsia="仿宋" w:cs="仿宋"/>
          <w:sz w:val="24"/>
          <w:szCs w:val="24"/>
          <w:lang w:eastAsia="zh-CN"/>
        </w:rPr>
        <w:t>、</w:t>
      </w:r>
      <w:r>
        <w:rPr>
          <w:rFonts w:hint="eastAsia" w:ascii="仿宋" w:hAnsi="仿宋" w:eastAsia="仿宋" w:cs="仿宋"/>
          <w:sz w:val="24"/>
          <w:szCs w:val="24"/>
        </w:rPr>
        <w:t>《白云鄂博矿区支持飞地经济双创园区发展六项政策》</w:t>
      </w:r>
      <w:r>
        <w:rPr>
          <w:rFonts w:hint="eastAsia" w:ascii="仿宋" w:hAnsi="仿宋" w:eastAsia="仿宋" w:cs="仿宋"/>
          <w:sz w:val="24"/>
          <w:szCs w:val="24"/>
          <w:lang w:eastAsia="zh-CN"/>
        </w:rPr>
        <w:t>等政策优势，</w:t>
      </w:r>
      <w:r>
        <w:rPr>
          <w:rFonts w:hint="eastAsia" w:ascii="仿宋" w:hAnsi="仿宋" w:eastAsia="仿宋" w:cs="仿宋"/>
          <w:color w:val="auto"/>
          <w:sz w:val="24"/>
          <w:szCs w:val="24"/>
        </w:rPr>
        <w:t>将飞地经济作为承接东西部产业转移的重要平台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积极</w:t>
      </w:r>
      <w:r>
        <w:rPr>
          <w:rFonts w:hint="eastAsia" w:ascii="仿宋" w:hAnsi="仿宋" w:eastAsia="仿宋" w:cs="仿宋"/>
          <w:color w:val="auto"/>
          <w:sz w:val="24"/>
          <w:szCs w:val="24"/>
        </w:rPr>
        <w:t>融入</w:t>
      </w:r>
      <w:r>
        <w:rPr>
          <w:rFonts w:hint="eastAsia" w:ascii="仿宋" w:hAnsi="仿宋" w:eastAsia="仿宋" w:cs="仿宋"/>
          <w:color w:val="auto"/>
          <w:sz w:val="24"/>
          <w:szCs w:val="24"/>
          <w:lang w:eastAsia="zh-CN"/>
        </w:rPr>
        <w:t>国内国际</w:t>
      </w:r>
      <w:r>
        <w:rPr>
          <w:rFonts w:hint="eastAsia" w:ascii="仿宋" w:hAnsi="仿宋" w:eastAsia="仿宋" w:cs="仿宋"/>
          <w:color w:val="auto"/>
          <w:sz w:val="24"/>
          <w:szCs w:val="24"/>
        </w:rPr>
        <w:t>双循环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搭建</w:t>
      </w:r>
      <w:r>
        <w:rPr>
          <w:rFonts w:hint="eastAsia" w:ascii="仿宋" w:hAnsi="仿宋" w:eastAsia="仿宋" w:cs="仿宋"/>
          <w:color w:val="auto"/>
          <w:sz w:val="24"/>
          <w:szCs w:val="24"/>
          <w:lang w:eastAsia="zh-CN"/>
        </w:rPr>
        <w:t>国内国际</w:t>
      </w:r>
      <w:r>
        <w:rPr>
          <w:rFonts w:hint="eastAsia" w:ascii="仿宋" w:hAnsi="仿宋" w:eastAsia="仿宋" w:cs="仿宋"/>
          <w:color w:val="auto"/>
          <w:sz w:val="24"/>
          <w:szCs w:val="24"/>
        </w:rPr>
        <w:t>一流跨境电商平台，</w:t>
      </w:r>
      <w:r>
        <w:rPr>
          <w:rFonts w:hint="eastAsia" w:ascii="仿宋" w:hAnsi="仿宋" w:eastAsia="仿宋" w:cs="仿宋"/>
          <w:color w:val="000000" w:themeColor="text1"/>
          <w:sz w:val="24"/>
          <w:szCs w:val="24"/>
          <w14:textFill>
            <w14:solidFill>
              <w14:schemeClr w14:val="tx1"/>
            </w14:solidFill>
          </w14:textFill>
        </w:rPr>
        <w:t>支持电子商务企业</w:t>
      </w:r>
      <w:r>
        <w:rPr>
          <w:rFonts w:hint="eastAsia" w:ascii="仿宋" w:hAnsi="仿宋" w:eastAsia="仿宋" w:cs="仿宋"/>
          <w:color w:val="000000"/>
          <w:sz w:val="24"/>
          <w:szCs w:val="24"/>
        </w:rPr>
        <w:t>创优示范和创新发展，建设国家级电子商务基地和跨境电商产业园</w:t>
      </w:r>
      <w:r>
        <w:rPr>
          <w:rFonts w:hint="eastAsia" w:ascii="仿宋" w:hAnsi="仿宋" w:eastAsia="仿宋" w:cs="仿宋"/>
          <w:color w:val="000000"/>
          <w:sz w:val="24"/>
          <w:szCs w:val="24"/>
          <w:lang w:eastAsia="zh-CN"/>
        </w:rPr>
        <w:t>。</w:t>
      </w:r>
      <w:r>
        <w:rPr>
          <w:rFonts w:hint="eastAsia" w:ascii="仿宋" w:hAnsi="仿宋" w:eastAsia="仿宋" w:cs="仿宋"/>
          <w:spacing w:val="-10"/>
          <w:sz w:val="24"/>
          <w:szCs w:val="24"/>
        </w:rPr>
        <w:t>积极引进</w:t>
      </w:r>
      <w:r>
        <w:rPr>
          <w:rFonts w:hint="eastAsia" w:ascii="仿宋" w:hAnsi="仿宋" w:eastAsia="仿宋" w:cs="仿宋"/>
          <w:spacing w:val="-10"/>
          <w:sz w:val="24"/>
          <w:szCs w:val="24"/>
          <w:lang w:eastAsia="zh-CN"/>
        </w:rPr>
        <w:t>高新技术</w:t>
      </w:r>
      <w:r>
        <w:rPr>
          <w:rFonts w:hint="eastAsia" w:ascii="仿宋" w:hAnsi="仿宋" w:eastAsia="仿宋" w:cs="仿宋"/>
          <w:spacing w:val="-10"/>
          <w:sz w:val="24"/>
          <w:szCs w:val="24"/>
        </w:rPr>
        <w:t>企业</w:t>
      </w:r>
      <w:r>
        <w:rPr>
          <w:rFonts w:hint="eastAsia" w:ascii="仿宋" w:hAnsi="仿宋" w:eastAsia="仿宋" w:cs="仿宋"/>
          <w:spacing w:val="-10"/>
          <w:sz w:val="24"/>
          <w:szCs w:val="24"/>
          <w:lang w:eastAsia="zh-CN"/>
        </w:rPr>
        <w:t>入驻飞地经济双创园</w:t>
      </w:r>
      <w:r>
        <w:rPr>
          <w:rFonts w:hint="eastAsia" w:ascii="仿宋" w:hAnsi="仿宋" w:eastAsia="仿宋" w:cs="仿宋"/>
          <w:color w:val="000000" w:themeColor="text1"/>
          <w:spacing w:val="-10"/>
          <w:sz w:val="24"/>
          <w:szCs w:val="24"/>
          <w:lang w:eastAsia="zh-CN"/>
          <w14:textFill>
            <w14:solidFill>
              <w14:schemeClr w14:val="tx1"/>
            </w14:solidFill>
          </w14:textFill>
        </w:rPr>
        <w:t>，</w:t>
      </w:r>
      <w:r>
        <w:rPr>
          <w:rFonts w:hint="eastAsia" w:ascii="仿宋" w:hAnsi="仿宋" w:eastAsia="仿宋" w:cs="仿宋"/>
          <w:color w:val="auto"/>
          <w:sz w:val="24"/>
          <w:szCs w:val="24"/>
          <w:lang w:val="en-US" w:eastAsia="zh-CN"/>
        </w:rPr>
        <w:t>增强园区</w:t>
      </w:r>
      <w:r>
        <w:rPr>
          <w:rFonts w:hint="eastAsia" w:ascii="仿宋" w:hAnsi="仿宋" w:eastAsia="仿宋" w:cs="仿宋"/>
          <w:spacing w:val="-10"/>
          <w:sz w:val="24"/>
          <w:szCs w:val="24"/>
        </w:rPr>
        <w:t>孵化</w:t>
      </w:r>
      <w:r>
        <w:rPr>
          <w:rFonts w:hint="eastAsia" w:ascii="仿宋" w:hAnsi="仿宋" w:eastAsia="仿宋" w:cs="仿宋"/>
          <w:color w:val="auto"/>
          <w:sz w:val="24"/>
          <w:szCs w:val="24"/>
        </w:rPr>
        <w:t>培育</w:t>
      </w:r>
      <w:r>
        <w:rPr>
          <w:rFonts w:hint="eastAsia" w:ascii="仿宋" w:hAnsi="仿宋" w:eastAsia="仿宋" w:cs="仿宋"/>
          <w:color w:val="auto"/>
          <w:sz w:val="24"/>
          <w:szCs w:val="24"/>
          <w:lang w:val="en-US" w:eastAsia="zh-CN"/>
        </w:rPr>
        <w:t>功能。</w:t>
      </w:r>
      <w:r>
        <w:rPr>
          <w:rFonts w:hint="eastAsia" w:ascii="仿宋" w:hAnsi="仿宋" w:eastAsia="仿宋" w:cs="仿宋"/>
          <w:b w:val="0"/>
          <w:bCs/>
          <w:snapToGrid w:val="0"/>
          <w:spacing w:val="0"/>
          <w:kern w:val="0"/>
          <w:sz w:val="24"/>
          <w:szCs w:val="24"/>
          <w:lang w:eastAsia="zh-CN"/>
        </w:rPr>
        <w:t>启动实施十二个园中园项目，打造“两端一链”一体化发展模式。</w:t>
      </w:r>
      <w:r>
        <w:rPr>
          <w:rFonts w:hint="eastAsia" w:ascii="仿宋" w:hAnsi="仿宋" w:eastAsia="仿宋" w:cs="仿宋"/>
          <w:color w:val="auto"/>
          <w:spacing w:val="0"/>
          <w:kern w:val="0"/>
          <w:sz w:val="24"/>
          <w:szCs w:val="24"/>
          <w:lang w:val="en-US" w:eastAsia="zh-CN" w:bidi="ar-SA"/>
        </w:rPr>
        <w:t>瞄准有实力的境内外企业，深挖产业、企业、项目资源，</w:t>
      </w:r>
      <w:r>
        <w:rPr>
          <w:rFonts w:hint="eastAsia" w:ascii="仿宋" w:hAnsi="仿宋" w:eastAsia="仿宋" w:cs="仿宋"/>
          <w:color w:val="auto"/>
          <w:sz w:val="24"/>
          <w:szCs w:val="24"/>
          <w:lang w:val="en-US" w:eastAsia="zh-CN"/>
        </w:rPr>
        <w:t>重点培育发展</w:t>
      </w:r>
      <w:r>
        <w:rPr>
          <w:rFonts w:hint="eastAsia" w:ascii="仿宋" w:hAnsi="仿宋" w:eastAsia="仿宋" w:cs="仿宋"/>
          <w:color w:val="auto"/>
          <w:sz w:val="24"/>
          <w:szCs w:val="24"/>
        </w:rPr>
        <w:t>“四上”企业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shd w:val="clear" w:color="auto" w:fill="FFFFFF"/>
          <w:lang w:val="en-US" w:eastAsia="zh-CN"/>
        </w:rPr>
        <w:t>科技小巨人企业</w:t>
      </w:r>
      <w:r>
        <w:rPr>
          <w:rFonts w:hint="eastAsia" w:ascii="仿宋" w:hAnsi="仿宋" w:eastAsia="仿宋" w:cs="仿宋"/>
          <w:color w:val="000000"/>
          <w:sz w:val="24"/>
          <w:szCs w:val="24"/>
          <w:lang w:eastAsia="zh-CN"/>
        </w:rPr>
        <w:t>。</w:t>
      </w:r>
      <w:r>
        <w:rPr>
          <w:rFonts w:hint="eastAsia" w:ascii="仿宋" w:hAnsi="仿宋" w:eastAsia="仿宋" w:cs="仿宋"/>
          <w:color w:val="auto"/>
          <w:spacing w:val="0"/>
          <w:kern w:val="0"/>
          <w:sz w:val="24"/>
          <w:szCs w:val="24"/>
          <w:lang w:val="en-US" w:eastAsia="zh-CN" w:bidi="ar-SA"/>
        </w:rPr>
        <w:t>加强白云鄂博飞地双创园机制体制建设，全面提升园区管理能力，进一步提高园区的招商吸引力、发展创新力、区域竞争力，实现借力发展、弯道超车。优化完善各项鼓励优惠政策，强化以商招商、产业链招商，吸纳优质</w:t>
      </w:r>
      <w:r>
        <w:rPr>
          <w:rFonts w:hint="eastAsia" w:ascii="仿宋" w:hAnsi="仿宋" w:eastAsia="仿宋" w:cs="仿宋"/>
          <w:color w:val="auto"/>
          <w:sz w:val="24"/>
          <w:szCs w:val="24"/>
          <w:shd w:val="clear" w:color="auto" w:fill="FFFFFF"/>
          <w:lang w:val="en-US" w:eastAsia="zh-CN"/>
        </w:rPr>
        <w:t>企业</w:t>
      </w:r>
      <w:r>
        <w:rPr>
          <w:rFonts w:hint="eastAsia" w:ascii="仿宋" w:hAnsi="仿宋" w:eastAsia="仿宋" w:cs="仿宋"/>
          <w:color w:val="auto"/>
          <w:spacing w:val="0"/>
          <w:kern w:val="0"/>
          <w:sz w:val="24"/>
          <w:szCs w:val="24"/>
          <w:lang w:val="en-US" w:eastAsia="zh-CN" w:bidi="ar-SA"/>
        </w:rPr>
        <w:t>集聚发展。</w:t>
      </w:r>
      <w:r>
        <w:rPr>
          <w:rFonts w:hint="eastAsia" w:ascii="仿宋" w:hAnsi="仿宋" w:eastAsia="仿宋" w:cs="仿宋"/>
          <w:color w:val="auto"/>
          <w:sz w:val="24"/>
          <w:szCs w:val="24"/>
          <w:shd w:val="clear" w:color="auto" w:fill="FFFFFF"/>
          <w:lang w:val="en-US" w:eastAsia="zh-CN"/>
        </w:rPr>
        <w:t>积极打造国家级电子商务示范基地，主动对接京津冀、长三角、呼包鄂榆（乌）城市群等地区，积极引进和承接周边区域产业转移，进行产业联合，实现“飞入飞出”双飞发展模式，打造自治区“飞地经济”模范区。</w:t>
      </w:r>
    </w:p>
    <w:p w14:paraId="675C4247">
      <w:pPr>
        <w:pStyle w:val="2"/>
        <w:outlineLvl w:val="9"/>
        <w:rPr>
          <w:rFonts w:hint="eastAsia" w:ascii="仿宋" w:hAnsi="仿宋" w:eastAsia="仿宋" w:cs="仿宋"/>
          <w:sz w:val="24"/>
          <w:szCs w:val="24"/>
          <w:lang w:val="en-US" w:eastAsia="zh-CN"/>
        </w:rPr>
      </w:pPr>
    </w:p>
    <w:tbl>
      <w:tblPr>
        <w:tblStyle w:val="13"/>
        <w:tblW w:w="558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14:paraId="7B7E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5" w:hRule="atLeast"/>
        </w:trPr>
        <w:tc>
          <w:tcPr>
            <w:tcW w:w="5580" w:type="dxa"/>
            <w:tcBorders>
              <w:top w:val="single" w:color="auto" w:sz="4" w:space="0"/>
              <w:left w:val="single" w:color="auto" w:sz="4" w:space="0"/>
              <w:bottom w:val="single" w:color="auto" w:sz="4" w:space="0"/>
              <w:right w:val="single" w:color="auto" w:sz="4" w:space="0"/>
            </w:tcBorders>
            <w:noWrap/>
            <w:vAlign w:val="top"/>
          </w:tcPr>
          <w:p w14:paraId="2C839614">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10  壮大发展“飞地经济”</w:t>
            </w:r>
          </w:p>
          <w:p w14:paraId="6CCB97F5">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z w:val="24"/>
                <w:szCs w:val="24"/>
                <w:lang w:val="en-US" w:eastAsia="zh-CN"/>
              </w:rPr>
              <w:t>国家电子商务示范城市（基地）建设项目：</w:t>
            </w:r>
            <w:r>
              <w:rPr>
                <w:rFonts w:hint="eastAsia" w:ascii="仿宋" w:hAnsi="仿宋" w:eastAsia="仿宋" w:cs="仿宋"/>
                <w:snapToGrid w:val="0"/>
                <w:spacing w:val="0"/>
                <w:kern w:val="0"/>
                <w:sz w:val="24"/>
                <w:szCs w:val="24"/>
                <w:lang w:val="en-US" w:eastAsia="zh-CN"/>
              </w:rPr>
              <w:t>依托“双创园区”，制定促进基地电子商务企业发展的优惠政策和入驻电子商务企业认定标准范围；为入驻企业提供基础配套服务设施和电子商务支撑体系；建设电子商务公共服务平台；为入驻企业建立投融资渠道和机制,建设电子商务孵化中心。</w:t>
            </w:r>
          </w:p>
        </w:tc>
      </w:tr>
    </w:tbl>
    <w:p w14:paraId="68C8C588">
      <w:pPr>
        <w:pStyle w:val="4"/>
        <w:pageBreakBefore w:val="0"/>
        <w:numPr>
          <w:ilvl w:val="0"/>
          <w:numId w:val="3"/>
        </w:numPr>
        <w:kinsoku/>
        <w:wordWrap/>
        <w:overflowPunct/>
        <w:topLinePunct w:val="0"/>
        <w:autoSpaceDE/>
        <w:autoSpaceDN/>
        <w:bidi w:val="0"/>
        <w:spacing w:line="520" w:lineRule="exact"/>
        <w:jc w:val="center"/>
        <w:textAlignment w:val="auto"/>
        <w:rPr>
          <w:rFonts w:hint="eastAsia" w:ascii="宋体" w:hAnsi="宋体" w:eastAsia="宋体" w:cs="宋体"/>
          <w:b/>
          <w:bCs/>
          <w:sz w:val="28"/>
          <w:szCs w:val="28"/>
          <w:lang w:val="en-US" w:eastAsia="zh-CN"/>
        </w:rPr>
      </w:pPr>
      <w:bookmarkStart w:id="178" w:name="_Toc12357"/>
      <w:r>
        <w:rPr>
          <w:rFonts w:hint="eastAsia" w:ascii="宋体" w:hAnsi="宋体" w:cs="宋体"/>
          <w:b/>
          <w:bCs/>
          <w:sz w:val="28"/>
          <w:szCs w:val="28"/>
          <w:lang w:val="en-US" w:eastAsia="zh-CN"/>
        </w:rPr>
        <w:t xml:space="preserve"> </w:t>
      </w:r>
      <w:bookmarkStart w:id="179" w:name="_Toc25706"/>
      <w:bookmarkStart w:id="180" w:name="_Toc31856"/>
      <w:r>
        <w:rPr>
          <w:rFonts w:hint="eastAsia" w:ascii="宋体" w:hAnsi="宋体" w:eastAsia="宋体" w:cs="宋体"/>
          <w:b/>
          <w:bCs/>
          <w:sz w:val="28"/>
          <w:szCs w:val="28"/>
          <w:lang w:val="en-US" w:eastAsia="zh-CN"/>
        </w:rPr>
        <w:t>主动融入区域协调发展</w:t>
      </w:r>
      <w:bookmarkEnd w:id="178"/>
      <w:bookmarkEnd w:id="179"/>
      <w:bookmarkEnd w:id="180"/>
    </w:p>
    <w:p w14:paraId="4B33BF4D">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积极参与呼包鄂榆城市群、呼包鄂乌协同发展以及黄河流域协同合作高质量发展。进一步加强山北各旗县区区域经济合作，构建区域优势互补、市场一体化发展新机制，积极推进区域间分工协作，在资源综合利用中找准比较优势，实现率先发展，全力打造国家级稀土矿产资源循环利用示范基地和绿色矿山示范区。</w:t>
      </w:r>
    </w:p>
    <w:p w14:paraId="37950476">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81" w:name="_Toc5652"/>
      <w:bookmarkStart w:id="182" w:name="_Toc10935"/>
      <w:bookmarkStart w:id="183" w:name="_Toc13456"/>
      <w:r>
        <w:rPr>
          <w:rFonts w:hint="eastAsia" w:ascii="宋体" w:hAnsi="宋体" w:eastAsia="宋体" w:cs="宋体"/>
          <w:sz w:val="28"/>
          <w:szCs w:val="28"/>
          <w:lang w:val="en-US" w:eastAsia="zh-CN"/>
        </w:rPr>
        <w:t>第五节 扩大对外开放</w:t>
      </w:r>
      <w:bookmarkEnd w:id="181"/>
      <w:bookmarkEnd w:id="182"/>
      <w:bookmarkEnd w:id="183"/>
    </w:p>
    <w:p w14:paraId="01DFBEEF">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主动融入国内</w:t>
      </w:r>
      <w:bookmarkStart w:id="327" w:name="_GoBack"/>
      <w:bookmarkEnd w:id="327"/>
      <w:r>
        <w:rPr>
          <w:rFonts w:hint="eastAsia" w:ascii="仿宋" w:hAnsi="仿宋" w:eastAsia="仿宋" w:cs="仿宋"/>
          <w:b w:val="0"/>
          <w:bCs w:val="0"/>
          <w:sz w:val="24"/>
          <w:szCs w:val="24"/>
          <w:lang w:val="en-US" w:eastAsia="zh-CN"/>
        </w:rPr>
        <w:t>国际双循环发展新格局，</w:t>
      </w:r>
      <w:r>
        <w:rPr>
          <w:rFonts w:hint="eastAsia" w:ascii="仿宋" w:hAnsi="仿宋" w:eastAsia="仿宋" w:cs="仿宋"/>
          <w:sz w:val="24"/>
          <w:szCs w:val="24"/>
        </w:rPr>
        <w:t>抓住国家“一带一路”重要战略机遇，</w:t>
      </w:r>
      <w:r>
        <w:rPr>
          <w:rFonts w:hint="eastAsia" w:ascii="仿宋" w:hAnsi="仿宋" w:eastAsia="仿宋" w:cs="仿宋"/>
          <w:b w:val="0"/>
          <w:bCs w:val="0"/>
          <w:sz w:val="24"/>
          <w:szCs w:val="24"/>
          <w:lang w:val="en-US" w:eastAsia="zh-CN"/>
        </w:rPr>
        <w:t>依托我区得天独厚的交通区位优势和工业基础，积极参与“中蒙俄经济走廊”建设；对标包头市建设对外开放新高地以及满都拉口岸建设的实际需求，积极开展进出口自贸加工区建设，打造中蒙俄贸易后勤保障基地。认真落实包头市对外发展新战略，优化格局、多路推进，用好、用足辖区产业基础优势，打造特色矿产国际物流中转枢纽基地，实现现代物流业高质量发展。</w:t>
      </w:r>
      <w:r>
        <w:rPr>
          <w:rFonts w:hint="eastAsia" w:ascii="仿宋" w:hAnsi="仿宋" w:eastAsia="仿宋" w:cs="仿宋"/>
          <w:sz w:val="24"/>
          <w:szCs w:val="24"/>
        </w:rPr>
        <w:t>充分发挥满都拉口岸、包白、包满铁路</w:t>
      </w:r>
      <w:r>
        <w:rPr>
          <w:rFonts w:hint="eastAsia" w:ascii="仿宋" w:hAnsi="仿宋" w:eastAsia="仿宋" w:cs="仿宋"/>
          <w:sz w:val="24"/>
          <w:szCs w:val="24"/>
          <w:lang w:eastAsia="zh-CN"/>
        </w:rPr>
        <w:t>组合</w:t>
      </w:r>
      <w:r>
        <w:rPr>
          <w:rFonts w:hint="eastAsia" w:ascii="仿宋" w:hAnsi="仿宋" w:eastAsia="仿宋" w:cs="仿宋"/>
          <w:sz w:val="24"/>
          <w:szCs w:val="24"/>
        </w:rPr>
        <w:t>优势，以矿产</w:t>
      </w:r>
      <w:r>
        <w:rPr>
          <w:rFonts w:hint="eastAsia" w:ascii="仿宋" w:hAnsi="仿宋" w:eastAsia="仿宋" w:cs="仿宋"/>
          <w:sz w:val="24"/>
          <w:szCs w:val="24"/>
          <w:lang w:eastAsia="zh-CN"/>
        </w:rPr>
        <w:t>品贸易</w:t>
      </w:r>
      <w:r>
        <w:rPr>
          <w:rFonts w:hint="eastAsia" w:ascii="仿宋" w:hAnsi="仿宋" w:eastAsia="仿宋" w:cs="仿宋"/>
          <w:sz w:val="24"/>
          <w:szCs w:val="24"/>
        </w:rPr>
        <w:t>、</w:t>
      </w:r>
      <w:r>
        <w:rPr>
          <w:rFonts w:hint="eastAsia" w:ascii="仿宋" w:hAnsi="仿宋" w:eastAsia="仿宋" w:cs="仿宋"/>
          <w:sz w:val="24"/>
          <w:szCs w:val="24"/>
          <w:lang w:eastAsia="zh-CN"/>
        </w:rPr>
        <w:t>矿产加工</w:t>
      </w:r>
      <w:r>
        <w:rPr>
          <w:rFonts w:hint="eastAsia" w:ascii="仿宋" w:hAnsi="仿宋" w:eastAsia="仿宋" w:cs="仿宋"/>
          <w:sz w:val="24"/>
          <w:szCs w:val="24"/>
        </w:rPr>
        <w:t>为基础，</w:t>
      </w:r>
      <w:r>
        <w:rPr>
          <w:rFonts w:hint="eastAsia" w:ascii="仿宋" w:hAnsi="仿宋" w:eastAsia="仿宋" w:cs="仿宋"/>
          <w:b w:val="0"/>
          <w:bCs w:val="0"/>
          <w:sz w:val="24"/>
          <w:szCs w:val="24"/>
          <w:highlight w:val="none"/>
          <w:lang w:val="en-US" w:eastAsia="zh-CN"/>
        </w:rPr>
        <w:t>实现公铁联运，</w:t>
      </w:r>
      <w:r>
        <w:rPr>
          <w:rFonts w:hint="eastAsia" w:ascii="仿宋" w:hAnsi="仿宋" w:eastAsia="仿宋" w:cs="仿宋"/>
          <w:sz w:val="24"/>
          <w:szCs w:val="24"/>
        </w:rPr>
        <w:t>打造</w:t>
      </w:r>
      <w:r>
        <w:rPr>
          <w:rFonts w:hint="eastAsia" w:ascii="仿宋" w:hAnsi="仿宋" w:eastAsia="仿宋" w:cs="仿宋"/>
          <w:sz w:val="24"/>
          <w:szCs w:val="24"/>
          <w:lang w:val="en-US" w:eastAsia="zh-CN"/>
        </w:rPr>
        <w:t>国际性</w:t>
      </w:r>
      <w:r>
        <w:rPr>
          <w:rFonts w:hint="eastAsia" w:ascii="仿宋" w:hAnsi="仿宋" w:eastAsia="仿宋" w:cs="仿宋"/>
          <w:sz w:val="24"/>
          <w:szCs w:val="24"/>
        </w:rPr>
        <w:t>物流中转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加工</w:t>
      </w:r>
      <w:r>
        <w:rPr>
          <w:rFonts w:hint="eastAsia" w:ascii="仿宋" w:hAnsi="仿宋" w:eastAsia="仿宋" w:cs="仿宋"/>
          <w:sz w:val="24"/>
          <w:szCs w:val="24"/>
        </w:rPr>
        <w:t>基地</w:t>
      </w:r>
      <w:r>
        <w:rPr>
          <w:rFonts w:hint="eastAsia" w:ascii="仿宋" w:hAnsi="仿宋" w:eastAsia="仿宋" w:cs="仿宋"/>
          <w:b w:val="0"/>
          <w:bCs w:val="0"/>
          <w:sz w:val="24"/>
          <w:szCs w:val="24"/>
          <w:highlight w:val="none"/>
          <w:lang w:val="en-US" w:eastAsia="zh-CN"/>
        </w:rPr>
        <w:t>。利用矿产资源优势和毗邻蒙古国的区位优势，建设国际矿产资源交易平台，打造内蒙古中部地区煤、铁、铜、稀贵金属等矿产大宗资源类产品以及相关产业物联网交易平台。</w:t>
      </w:r>
    </w:p>
    <w:p w14:paraId="34E58947">
      <w:pPr>
        <w:pStyle w:val="2"/>
        <w:outlineLvl w:val="9"/>
        <w:rPr>
          <w:rFonts w:hint="eastAsia" w:ascii="仿宋" w:hAnsi="仿宋" w:eastAsia="仿宋" w:cs="仿宋"/>
          <w:sz w:val="24"/>
          <w:szCs w:val="24"/>
          <w:lang w:val="en-US" w:eastAsia="zh-CN"/>
        </w:rPr>
      </w:pPr>
    </w:p>
    <w:tbl>
      <w:tblPr>
        <w:tblStyle w:val="13"/>
        <w:tblpPr w:leftFromText="180" w:rightFromText="180" w:vertAnchor="text" w:horzAnchor="page" w:tblpX="1537" w:tblpY="40"/>
        <w:tblOverlap w:val="never"/>
        <w:tblW w:w="5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5"/>
      </w:tblGrid>
      <w:tr w14:paraId="1A34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5595" w:type="dxa"/>
            <w:tcBorders>
              <w:top w:val="single" w:color="auto" w:sz="4" w:space="0"/>
              <w:left w:val="single" w:color="auto" w:sz="4" w:space="0"/>
              <w:bottom w:val="single" w:color="auto" w:sz="4" w:space="0"/>
              <w:right w:val="single" w:color="auto" w:sz="4" w:space="0"/>
            </w:tcBorders>
            <w:noWrap/>
          </w:tcPr>
          <w:p w14:paraId="1071FE7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11  扩大对外开放</w:t>
            </w:r>
          </w:p>
          <w:p w14:paraId="42DFC396">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利用外蒙古优质焦煤资源一体化服务开发物流项目：</w:t>
            </w:r>
            <w:r>
              <w:rPr>
                <w:rFonts w:hint="eastAsia" w:ascii="仿宋" w:hAnsi="仿宋" w:eastAsia="仿宋" w:cs="仿宋"/>
                <w:b w:val="0"/>
                <w:bCs w:val="0"/>
                <w:sz w:val="24"/>
                <w:szCs w:val="24"/>
                <w:highlight w:val="none"/>
                <w:lang w:val="en-US" w:eastAsia="zh-CN"/>
              </w:rPr>
              <w:t>利用蒙古国优质焦煤资源全力推进“满都拉口岸—白云鄂博—包白线、集通线—沈阳铁路局的盘锦港”的电子港口、口岸建设，推动对蒙基础设施通道建设，形成互联互通、优势互补的经济圈，共同打造中蒙俄国际经济合作西部走廊；</w:t>
            </w:r>
          </w:p>
          <w:p w14:paraId="19940AB7">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白云鄂博矿区矿产物流园建设项目：</w:t>
            </w:r>
            <w:r>
              <w:rPr>
                <w:rFonts w:hint="eastAsia" w:ascii="仿宋" w:hAnsi="仿宋" w:eastAsia="仿宋" w:cs="仿宋"/>
                <w:b w:val="0"/>
                <w:bCs w:val="0"/>
                <w:sz w:val="24"/>
                <w:szCs w:val="24"/>
                <w:highlight w:val="none"/>
                <w:lang w:val="en-US" w:eastAsia="zh-CN"/>
              </w:rPr>
              <w:t>利用蒙古国矿产资源前端初级产品分装运输作为物流配送的主要货源，以服务包钢物资供应链为主要目标，建设商贸、煤炭物流、仓储运输等物流基础设施的现代物流产业园区。</w:t>
            </w:r>
          </w:p>
        </w:tc>
      </w:tr>
    </w:tbl>
    <w:p w14:paraId="6C502396">
      <w:pPr>
        <w:pStyle w:val="3"/>
        <w:pageBreakBefore w:val="0"/>
        <w:numPr>
          <w:ilvl w:val="0"/>
          <w:numId w:val="0"/>
        </w:numPr>
        <w:kinsoku/>
        <w:wordWrap/>
        <w:overflowPunct/>
        <w:topLinePunct w:val="0"/>
        <w:autoSpaceDE/>
        <w:autoSpaceDN/>
        <w:bidi w:val="0"/>
        <w:spacing w:line="520" w:lineRule="exact"/>
        <w:jc w:val="both"/>
        <w:textAlignment w:val="auto"/>
        <w:outlineLvl w:val="9"/>
        <w:rPr>
          <w:rFonts w:hint="eastAsia" w:ascii="Cambria" w:hAnsi="Cambria" w:eastAsia="方正黑体简体" w:cs="Times New Roman"/>
          <w:b w:val="0"/>
          <w:bCs/>
          <w:kern w:val="0"/>
          <w:sz w:val="28"/>
          <w:szCs w:val="32"/>
          <w:lang w:val="en-US" w:eastAsia="zh-CN" w:bidi="ar-SA"/>
        </w:rPr>
      </w:pPr>
      <w:bookmarkStart w:id="184" w:name="_Toc5695"/>
    </w:p>
    <w:p w14:paraId="74201ECC">
      <w:pPr>
        <w:pStyle w:val="3"/>
        <w:pageBreakBefore w:val="0"/>
        <w:numPr>
          <w:ilvl w:val="0"/>
          <w:numId w:val="0"/>
        </w:numPr>
        <w:kinsoku/>
        <w:wordWrap/>
        <w:overflowPunct/>
        <w:topLinePunct w:val="0"/>
        <w:autoSpaceDE/>
        <w:autoSpaceDN/>
        <w:bidi w:val="0"/>
        <w:spacing w:line="520" w:lineRule="exact"/>
        <w:jc w:val="both"/>
        <w:textAlignment w:val="auto"/>
        <w:outlineLvl w:val="9"/>
        <w:rPr>
          <w:rFonts w:hint="eastAsia" w:ascii="Cambria" w:hAnsi="Cambria" w:eastAsia="方正黑体简体" w:cs="Times New Roman"/>
          <w:b w:val="0"/>
          <w:bCs/>
          <w:kern w:val="0"/>
          <w:sz w:val="28"/>
          <w:szCs w:val="32"/>
          <w:lang w:val="en-US" w:eastAsia="zh-CN" w:bidi="ar-SA"/>
        </w:rPr>
      </w:pPr>
    </w:p>
    <w:p w14:paraId="1FEF2277">
      <w:pPr>
        <w:rPr>
          <w:rFonts w:hint="eastAsia"/>
          <w:lang w:val="en-US" w:eastAsia="zh-CN"/>
        </w:rPr>
      </w:pPr>
    </w:p>
    <w:p w14:paraId="07774506">
      <w:pPr>
        <w:pStyle w:val="2"/>
        <w:outlineLvl w:val="9"/>
        <w:rPr>
          <w:rFonts w:hint="eastAsia"/>
          <w:lang w:val="en-US" w:eastAsia="zh-CN"/>
        </w:rPr>
      </w:pPr>
    </w:p>
    <w:p w14:paraId="6E9A96DC">
      <w:pPr>
        <w:rPr>
          <w:rFonts w:hint="eastAsia"/>
          <w:lang w:val="en-US" w:eastAsia="zh-CN"/>
        </w:rPr>
      </w:pPr>
    </w:p>
    <w:p w14:paraId="71BA00F1">
      <w:pPr>
        <w:pStyle w:val="2"/>
        <w:outlineLvl w:val="9"/>
        <w:rPr>
          <w:rFonts w:hint="eastAsia"/>
          <w:lang w:val="en-US" w:eastAsia="zh-CN"/>
        </w:rPr>
      </w:pPr>
    </w:p>
    <w:p w14:paraId="41CA4255">
      <w:pPr>
        <w:rPr>
          <w:rFonts w:hint="eastAsia"/>
          <w:lang w:val="en-US" w:eastAsia="zh-CN"/>
        </w:rPr>
      </w:pPr>
    </w:p>
    <w:p w14:paraId="04F7DF49">
      <w:pPr>
        <w:pStyle w:val="2"/>
        <w:outlineLvl w:val="9"/>
        <w:rPr>
          <w:rFonts w:hint="eastAsia"/>
          <w:lang w:val="en-US" w:eastAsia="zh-CN"/>
        </w:rPr>
      </w:pPr>
    </w:p>
    <w:p w14:paraId="533447A1">
      <w:pPr>
        <w:rPr>
          <w:rFonts w:hint="eastAsia"/>
          <w:lang w:val="en-US" w:eastAsia="zh-CN"/>
        </w:rPr>
      </w:pPr>
    </w:p>
    <w:p w14:paraId="7E512B55">
      <w:pPr>
        <w:pStyle w:val="2"/>
        <w:outlineLvl w:val="9"/>
        <w:rPr>
          <w:rFonts w:hint="eastAsia"/>
          <w:lang w:val="en-US" w:eastAsia="zh-CN"/>
        </w:rPr>
      </w:pPr>
    </w:p>
    <w:p w14:paraId="3F2928CD">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185" w:name="_Toc16348"/>
      <w:bookmarkStart w:id="186" w:name="_Toc17737"/>
      <w:r>
        <w:rPr>
          <w:rFonts w:hint="eastAsia" w:ascii="Cambria" w:hAnsi="Cambria" w:eastAsia="方正黑体简体" w:cs="Times New Roman"/>
          <w:b w:val="0"/>
          <w:bCs/>
          <w:kern w:val="0"/>
          <w:sz w:val="28"/>
          <w:szCs w:val="32"/>
          <w:lang w:val="en-US" w:eastAsia="zh-CN" w:bidi="ar-SA"/>
        </w:rPr>
        <w:t>第七章 全面深化改革 增强高质量发展动力</w:t>
      </w:r>
      <w:bookmarkEnd w:id="184"/>
      <w:bookmarkEnd w:id="185"/>
      <w:bookmarkEnd w:id="186"/>
    </w:p>
    <w:p w14:paraId="54E40FBA">
      <w:pPr>
        <w:pageBreakBefore w:val="0"/>
        <w:numPr>
          <w:ilvl w:val="0"/>
          <w:numId w:val="0"/>
        </w:numPr>
        <w:kinsoku/>
        <w:wordWrap/>
        <w:overflowPunct/>
        <w:topLinePunct w:val="0"/>
        <w:autoSpaceDE/>
        <w:autoSpaceDN/>
        <w:bidi w:val="0"/>
        <w:spacing w:line="520" w:lineRule="exact"/>
        <w:ind w:leftChars="0"/>
        <w:textAlignment w:val="auto"/>
        <w:rPr>
          <w:rFonts w:hint="eastAsia" w:ascii="仿宋" w:hAnsi="仿宋" w:eastAsia="仿宋" w:cs="仿宋"/>
          <w:sz w:val="24"/>
          <w:szCs w:val="24"/>
        </w:rPr>
      </w:pPr>
    </w:p>
    <w:p w14:paraId="5D89ADDD">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全面深化改革，坚持从体制机制入手，从优化营商环境破局，破除深层次体制机制障碍，充分发挥市场在资源配置中的决定性作用。</w:t>
      </w:r>
    </w:p>
    <w:p w14:paraId="3384009D">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187" w:name="_Toc21586"/>
      <w:bookmarkStart w:id="188" w:name="_Toc2057"/>
      <w:bookmarkStart w:id="189" w:name="_Toc13211"/>
      <w:bookmarkStart w:id="190" w:name="_Toc17790"/>
      <w:r>
        <w:rPr>
          <w:rFonts w:hint="eastAsia" w:ascii="宋体" w:hAnsi="宋体" w:eastAsia="宋体" w:cs="宋体"/>
          <w:sz w:val="28"/>
          <w:szCs w:val="28"/>
        </w:rPr>
        <w:t xml:space="preserve">第一节 </w:t>
      </w:r>
      <w:r>
        <w:rPr>
          <w:rFonts w:hint="eastAsia" w:ascii="宋体" w:hAnsi="宋体" w:eastAsia="宋体" w:cs="宋体"/>
          <w:sz w:val="28"/>
          <w:szCs w:val="28"/>
          <w:lang w:val="en-US" w:eastAsia="zh-CN"/>
        </w:rPr>
        <w:t>全面</w:t>
      </w:r>
      <w:r>
        <w:rPr>
          <w:rFonts w:hint="eastAsia" w:ascii="宋体" w:hAnsi="宋体" w:eastAsia="宋体" w:cs="宋体"/>
          <w:sz w:val="28"/>
          <w:szCs w:val="28"/>
        </w:rPr>
        <w:t>优化</w:t>
      </w:r>
      <w:r>
        <w:rPr>
          <w:rFonts w:hint="eastAsia" w:ascii="宋体" w:hAnsi="宋体" w:eastAsia="宋体" w:cs="宋体"/>
          <w:sz w:val="28"/>
          <w:szCs w:val="28"/>
          <w:lang w:val="en-US" w:eastAsia="zh-CN"/>
        </w:rPr>
        <w:t>提升</w:t>
      </w:r>
      <w:r>
        <w:rPr>
          <w:rFonts w:hint="eastAsia" w:ascii="宋体" w:hAnsi="宋体" w:eastAsia="宋体" w:cs="宋体"/>
          <w:sz w:val="28"/>
          <w:szCs w:val="28"/>
        </w:rPr>
        <w:t>营商环境</w:t>
      </w:r>
      <w:bookmarkEnd w:id="187"/>
      <w:bookmarkEnd w:id="188"/>
      <w:bookmarkEnd w:id="189"/>
      <w:bookmarkEnd w:id="190"/>
    </w:p>
    <w:p w14:paraId="0D2B12BE">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bookmarkStart w:id="191" w:name="_Toc12262"/>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认真贯彻落实党中央、自治区以及包头市关于深化“放管服”改革、优化营商环境的决策部署，推动政府职能转变，努力争创一流营商环境，激发市场活力和社会创造力。</w:t>
      </w:r>
    </w:p>
    <w:p w14:paraId="7BA75B34">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优化市场环境。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持续深化商事制度改革，深化“证照分离”改革，持续推进“照后减证”和简化审批。进一步简化、整合投资项目报建手续，减少工程建设项目审批事项和办理要件，精简工程建设项目审批流程，优化不动产登记、税务服务程序，最大限度提高公共服务的质量和水平。强化政务诚信建设，建立政府失信责任追究制度。</w:t>
      </w:r>
    </w:p>
    <w:p w14:paraId="18434215">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优化政务环境。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进一步增强政府服务意识，切实转变工作作风，全力推动政务服务从政府供给导向向企业群众需求导向转变；统筹集成审批服务要素，优化再造审批服务流程，进一步完善一体化政务服务平台、优化窗口布局、规范服务标准，为企业和群众提供套餐式、主题式服务，全面提升政务服务集约化、规范化、便利化水平。对标国内先进地区服务标准，推进标准化政务服务，改进提升各项服务质量。按照减环节、减材料、压时限的要求，编制、公开政务服务事项标准化工作流程和办事指南，细化、量化政务服务标准，压缩自由裁量权，实现同一事项无差别受理、同标准办理。加快政务服务平台建设，及时制定“一次办”、“帮您办”、“零跑腿”事项清单，推进落实网上政务服务，提高网上政务服务能力水平。实现80%以上政务服务事项“移动可办”，90%以上政务服务事项“一网通办”，充分运用区块链、5G技术探索打造“指尖上的政务服务中心”。</w:t>
      </w:r>
    </w:p>
    <w:p w14:paraId="63D0DAF6">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优化法治环境。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积极构建公平、公正、公开的法治环境，建立健全诚实守信、重诺践约、失信受戒的信用体系。坚持依法行政、公正执法，强化司法公平公正，做到所有法规、政策公开透明，打造一流的法治环境。</w:t>
      </w:r>
    </w:p>
    <w:p w14:paraId="0C0E3A04">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优化产业环境。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建立健全灵活有序的市场经济秩序，按照“高位统筹、分级负责、各司其职”的工作要求，深入推行首问负责制、服务承诺制、跟踪服务制，确保优化产业发展环境无死角、全覆盖。围绕市场体系、要素保障、产业生态、人文环境和社会氛围等五个方面，全力打造优化营商环境新名片，强化要素的有效保障，打造优良产业生态，营造尊商重商爱商社会氛围，为创业创新提供一流的产业环境。</w:t>
      </w:r>
    </w:p>
    <w:p w14:paraId="7EF45321">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优化城市环境。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凝聚“处处都是营商环境、人人都是形象使者”氛围，积极开展全国文明城市创建工作，大力提升城市生态环境、公共服务能力，提高居民整体素质，延展城市内涵，提升城市文明程度。抓好常态化文明城市提升工作，让居民、投资者、创业者、游客都不断获得更多幸福感、安全感。 </w:t>
      </w:r>
    </w:p>
    <w:p w14:paraId="3793D7F2">
      <w:pPr>
        <w:keepNext w:val="0"/>
        <w:keepLines w:val="0"/>
        <w:pageBreakBefore w:val="0"/>
        <w:widowControl/>
        <w:suppressLineNumbers w:val="0"/>
        <w:kinsoku/>
        <w:wordWrap/>
        <w:overflowPunct/>
        <w:topLinePunct w:val="0"/>
        <w:autoSpaceDE/>
        <w:autoSpaceDN/>
        <w:bidi w:val="0"/>
        <w:spacing w:line="520" w:lineRule="exact"/>
        <w:ind w:firstLine="482"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做好营商环境监督、考核与宣传。</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全面推行“码上监督马上办”等监督考核机制，</w:t>
      </w:r>
      <w:r>
        <w:rPr>
          <w:rFonts w:hint="eastAsia" w:ascii="仿宋" w:hAnsi="仿宋" w:eastAsia="仿宋" w:cs="仿宋"/>
          <w:color w:val="000000" w:themeColor="text1"/>
          <w:kern w:val="0"/>
          <w:sz w:val="24"/>
          <w:szCs w:val="24"/>
          <w:lang w:val="en-US" w:eastAsia="zh-CN" w:bidi="ar"/>
          <w14:textFill>
            <w14:solidFill>
              <w14:schemeClr w14:val="tx1"/>
            </w14:solidFill>
          </w14:textFill>
        </w:rPr>
        <w:t>制定营商环境绩效考核实施细则，纳入年终考核体系，做好分阶段考核、考评工作。</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督促检查各单位推进落实各项措施情况，定期督查、定期通报，核查督办整改落实情况。建立健全党委、政府定期研究支持民营经济发展工作机制，畅通投诉渠道，运用大数据分析优化营商环境中存在的短板和弱项，对标国内先进标准，推广国内最佳实践经验，持续推出营商环境改革新举措</w:t>
      </w:r>
      <w:r>
        <w:rPr>
          <w:rFonts w:hint="eastAsia" w:ascii="仿宋" w:hAnsi="仿宋" w:eastAsia="仿宋" w:cs="仿宋"/>
          <w:color w:val="000000" w:themeColor="text1"/>
          <w:kern w:val="0"/>
          <w:sz w:val="24"/>
          <w:szCs w:val="24"/>
          <w:lang w:val="en-US" w:eastAsia="zh-CN" w:bidi="ar"/>
          <w14:textFill>
            <w14:solidFill>
              <w14:schemeClr w14:val="tx1"/>
            </w14:solidFill>
          </w14:textFill>
        </w:rPr>
        <w:t>。</w:t>
      </w:r>
    </w:p>
    <w:p w14:paraId="70956C16">
      <w:pPr>
        <w:pStyle w:val="4"/>
        <w:pageBreakBefore w:val="0"/>
        <w:numPr>
          <w:ilvl w:val="0"/>
          <w:numId w:val="0"/>
        </w:numPr>
        <w:tabs>
          <w:tab w:val="left" w:pos="0"/>
        </w:tabs>
        <w:kinsoku/>
        <w:wordWrap/>
        <w:overflowPunct/>
        <w:topLinePunct w:val="0"/>
        <w:autoSpaceDE/>
        <w:autoSpaceDN/>
        <w:bidi w:val="0"/>
        <w:spacing w:line="520" w:lineRule="exact"/>
        <w:ind w:leftChars="0"/>
        <w:jc w:val="center"/>
        <w:textAlignment w:val="auto"/>
        <w:rPr>
          <w:rFonts w:hint="eastAsia" w:ascii="宋体" w:hAnsi="宋体" w:eastAsia="宋体" w:cs="宋体"/>
          <w:sz w:val="28"/>
          <w:szCs w:val="28"/>
        </w:rPr>
      </w:pPr>
      <w:bookmarkStart w:id="192" w:name="_Toc6894"/>
      <w:bookmarkStart w:id="193" w:name="_Toc21900"/>
      <w:bookmarkStart w:id="194" w:name="_Toc17804"/>
      <w:r>
        <w:rPr>
          <w:rFonts w:hint="eastAsia" w:ascii="宋体" w:hAnsi="宋体" w:eastAsia="宋体" w:cs="宋体"/>
          <w:sz w:val="28"/>
          <w:szCs w:val="28"/>
          <w:lang w:val="zh-CN" w:eastAsia="zh-CN"/>
        </w:rPr>
        <w:t>第二节</w:t>
      </w:r>
      <w:r>
        <w:rPr>
          <w:rFonts w:hint="eastAsia" w:ascii="宋体" w:hAnsi="宋体" w:eastAsia="宋体" w:cs="宋体"/>
          <w:sz w:val="28"/>
          <w:szCs w:val="28"/>
          <w:lang w:val="en-US" w:eastAsia="zh-CN"/>
        </w:rPr>
        <w:t xml:space="preserve"> 持续加强</w:t>
      </w:r>
      <w:r>
        <w:rPr>
          <w:rFonts w:hint="eastAsia" w:ascii="宋体" w:hAnsi="宋体" w:eastAsia="宋体" w:cs="宋体"/>
          <w:sz w:val="28"/>
          <w:szCs w:val="28"/>
          <w:lang w:val="zh-CN" w:eastAsia="zh-CN"/>
        </w:rPr>
        <w:t>招商引资</w:t>
      </w:r>
      <w:bookmarkEnd w:id="192"/>
      <w:bookmarkEnd w:id="193"/>
      <w:bookmarkEnd w:id="194"/>
    </w:p>
    <w:p w14:paraId="35A7A272">
      <w:pPr>
        <w:pageBreakBefore w:val="0"/>
        <w:kinsoku/>
        <w:wordWrap/>
        <w:overflowPunct/>
        <w:topLinePunct w:val="0"/>
        <w:autoSpaceDE/>
        <w:autoSpaceDN/>
        <w:bidi w:val="0"/>
        <w:spacing w:line="520" w:lineRule="exact"/>
        <w:ind w:left="0" w:firstLine="643"/>
        <w:jc w:val="both"/>
        <w:textAlignment w:val="auto"/>
        <w:rPr>
          <w:rFonts w:hint="eastAsia" w:ascii="仿宋" w:hAnsi="仿宋" w:eastAsia="仿宋" w:cs="仿宋"/>
          <w:b/>
          <w:bCs/>
          <w:sz w:val="24"/>
          <w:szCs w:val="24"/>
          <w:lang w:eastAsia="zh-CN"/>
        </w:rPr>
      </w:pPr>
      <w:r>
        <w:rPr>
          <w:rFonts w:hint="eastAsia" w:ascii="仿宋" w:hAnsi="仿宋" w:eastAsia="仿宋" w:cs="仿宋"/>
          <w:sz w:val="24"/>
          <w:szCs w:val="24"/>
          <w:lang w:eastAsia="zh-CN"/>
        </w:rPr>
        <w:t>大力推进招商引资工作，区领导、各部门单位要主动与项目单位进行精准对接，实行挂图作战，明确路线图、时间表、责任状，确保招商引资工作提速落地见效，形成全区上下齐抓共管、全员抓招商的良好局面。</w:t>
      </w:r>
    </w:p>
    <w:p w14:paraId="563F3F7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2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抓住国家促进产业在国内有序转移机遇，创新和优化招商引资方式，</w:t>
      </w:r>
      <w:r>
        <w:rPr>
          <w:rFonts w:hint="eastAsia" w:ascii="仿宋" w:hAnsi="仿宋" w:eastAsia="仿宋" w:cs="仿宋"/>
          <w:sz w:val="24"/>
          <w:szCs w:val="24"/>
          <w:lang w:val="en-US" w:eastAsia="zh-CN"/>
        </w:rPr>
        <w:t>集中优势兵力，</w:t>
      </w:r>
      <w:r>
        <w:rPr>
          <w:rFonts w:hint="eastAsia" w:ascii="仿宋" w:hAnsi="仿宋" w:eastAsia="仿宋" w:cs="仿宋"/>
          <w:sz w:val="24"/>
          <w:szCs w:val="24"/>
        </w:rPr>
        <w:t>完善和用好各类招商平台，实施精准招商引资行动，强化以商招商、</w:t>
      </w:r>
      <w:r>
        <w:rPr>
          <w:rFonts w:hint="eastAsia" w:ascii="仿宋" w:hAnsi="仿宋" w:eastAsia="仿宋" w:cs="仿宋"/>
          <w:sz w:val="24"/>
          <w:szCs w:val="24"/>
          <w:lang w:val="en-US" w:eastAsia="zh-CN"/>
        </w:rPr>
        <w:t>委托招商、</w:t>
      </w:r>
      <w:r>
        <w:rPr>
          <w:rFonts w:hint="eastAsia" w:ascii="仿宋" w:hAnsi="仿宋" w:eastAsia="仿宋" w:cs="仿宋"/>
          <w:sz w:val="24"/>
          <w:szCs w:val="24"/>
        </w:rPr>
        <w:t>产业链招商，推动多维联动招商，大力引进符合绿色发展要求和产业定位的转移项目。</w:t>
      </w:r>
      <w:bookmarkStart w:id="195" w:name="bookmark5"/>
      <w:bookmarkEnd w:id="195"/>
      <w:bookmarkStart w:id="196" w:name="bookmark6"/>
      <w:bookmarkEnd w:id="196"/>
      <w:r>
        <w:rPr>
          <w:rFonts w:hint="eastAsia" w:ascii="仿宋" w:hAnsi="仿宋" w:eastAsia="仿宋" w:cs="仿宋"/>
          <w:sz w:val="24"/>
          <w:szCs w:val="24"/>
          <w:lang w:val="en-US" w:eastAsia="zh-CN"/>
        </w:rPr>
        <w:t>主动对接三类500强企业，联系对接各地商会和各行业协会，联系对接各大高校和科研院所，寻找合作机会，千方百计引进“高、大、好、上、强”项目，引进落地快、见效快、成长性强的“小微”项目，引进新技术、新产品、新业态、新模式项目。</w:t>
      </w:r>
    </w:p>
    <w:p w14:paraId="3D03D46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2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kern w:val="2"/>
          <w:sz w:val="24"/>
          <w:szCs w:val="24"/>
          <w:lang w:val="en-US" w:eastAsia="zh-CN" w:bidi="ar-SA"/>
        </w:rPr>
        <w:t>建立健全招商机制，</w:t>
      </w:r>
      <w:r>
        <w:rPr>
          <w:rFonts w:hint="eastAsia" w:ascii="仿宋" w:hAnsi="仿宋" w:eastAsia="仿宋" w:cs="仿宋"/>
          <w:sz w:val="24"/>
          <w:szCs w:val="24"/>
          <w:lang w:val="en-US" w:eastAsia="zh-CN"/>
        </w:rPr>
        <w:t>建立招商引资月调度、季评估、年考核制度。全力做好引进企业、项目、人才的服务保障工作，按照“走访项目抓信息、在谈项目抓签约、签约项目抓落地、落地项目抓增资”的要求，建立项目储备库和在建项目清单，对签约、落地项目进行分类管理，形成目标任务逐个明确、招商压力层层传导，工作责任充分落实的工作局面。</w:t>
      </w:r>
    </w:p>
    <w:p w14:paraId="52D159DC">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197" w:name="_Toc1801"/>
      <w:bookmarkStart w:id="198" w:name="_Toc18139"/>
      <w:bookmarkStart w:id="199" w:name="_Toc12561"/>
      <w:r>
        <w:rPr>
          <w:rFonts w:hint="eastAsia" w:ascii="宋体" w:hAnsi="宋体" w:eastAsia="宋体" w:cs="宋体"/>
          <w:sz w:val="28"/>
          <w:szCs w:val="28"/>
        </w:rPr>
        <w:t>第</w:t>
      </w:r>
      <w:r>
        <w:rPr>
          <w:rFonts w:hint="eastAsia" w:ascii="宋体" w:hAnsi="宋体" w:eastAsia="宋体" w:cs="宋体"/>
          <w:sz w:val="28"/>
          <w:szCs w:val="28"/>
          <w:lang w:eastAsia="zh-CN"/>
        </w:rPr>
        <w:t>三</w:t>
      </w:r>
      <w:r>
        <w:rPr>
          <w:rFonts w:hint="eastAsia" w:ascii="宋体" w:hAnsi="宋体" w:eastAsia="宋体" w:cs="宋体"/>
          <w:sz w:val="28"/>
          <w:szCs w:val="28"/>
        </w:rPr>
        <w:t>节 激发</w:t>
      </w:r>
      <w:r>
        <w:rPr>
          <w:rFonts w:hint="eastAsia" w:ascii="宋体" w:hAnsi="宋体" w:eastAsia="宋体" w:cs="宋体"/>
          <w:sz w:val="28"/>
          <w:szCs w:val="28"/>
          <w:lang w:val="en-US" w:eastAsia="zh-CN"/>
        </w:rPr>
        <w:t>保持</w:t>
      </w:r>
      <w:r>
        <w:rPr>
          <w:rFonts w:hint="eastAsia" w:ascii="宋体" w:hAnsi="宋体" w:eastAsia="宋体" w:cs="宋体"/>
          <w:sz w:val="28"/>
          <w:szCs w:val="28"/>
        </w:rPr>
        <w:t>市场主体活力</w:t>
      </w:r>
      <w:bookmarkEnd w:id="191"/>
      <w:bookmarkEnd w:id="197"/>
      <w:bookmarkEnd w:id="198"/>
      <w:bookmarkEnd w:id="199"/>
    </w:p>
    <w:p w14:paraId="1850185A">
      <w:pPr>
        <w:pStyle w:val="26"/>
        <w:pageBreakBefore w:val="0"/>
        <w:kinsoku/>
        <w:wordWrap/>
        <w:overflowPunct/>
        <w:topLinePunct w:val="0"/>
        <w:autoSpaceDE/>
        <w:autoSpaceDN/>
        <w:bidi w:val="0"/>
        <w:spacing w:line="52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大力发展民营经济，落实扶持民营经济发展政策措施和非公经济发展十条措施，强化政策执行情况监督检查，打造非公经济健康发展政策环境。严格落实国家各项减税降费政策，降低民营企业经营成本，加强面向民营企业的金融服务建设，通畅民营企业直接融资渠道。进一步放开民营企业市场准入，支持民营企业创新，增强民营企业活力，推动中小微企业与大企业协作配套，让民营经济充满创新活力、发展动力。</w:t>
      </w:r>
    </w:p>
    <w:p w14:paraId="55141543">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snapToGrid w:val="0"/>
          <w:spacing w:val="0"/>
          <w:kern w:val="0"/>
          <w:sz w:val="24"/>
          <w:szCs w:val="24"/>
          <w:lang w:val="en-US" w:eastAsia="zh-CN"/>
        </w:rPr>
        <w:t>全面贯彻落实《关于加快促进企地融合发展的实施意见》，围绕稀土、铌、钪、萤石等资源开发利用，以及相关配套产业发展，加强企地各方在技术研发、设备共享、课题攻关等领域的深度合作，推动高新技术与传统产业融合发展，提升地区整体综合实力。重点支持区属配套企业与大型国企的融合发展，积极探索国企与民企相互参股、并购重组、增资扩股等深度融合，实现多元发展。鼓励支持民营企业积极参与矿产勘探、资源开采、稀土深度开发等领域，提高白云鄂博矿产资源的综合利用。</w:t>
      </w:r>
    </w:p>
    <w:p w14:paraId="5F133EF5">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sz w:val="28"/>
          <w:szCs w:val="28"/>
          <w:lang w:val="en-US" w:eastAsia="zh-CN"/>
        </w:rPr>
      </w:pPr>
      <w:bookmarkStart w:id="200" w:name="_Toc24957"/>
      <w:bookmarkStart w:id="201" w:name="_Toc31658"/>
      <w:bookmarkStart w:id="202" w:name="_Toc605"/>
      <w:r>
        <w:rPr>
          <w:rFonts w:hint="eastAsia" w:ascii="宋体" w:hAnsi="宋体" w:eastAsia="宋体" w:cs="宋体"/>
          <w:color w:val="auto"/>
          <w:sz w:val="28"/>
          <w:szCs w:val="28"/>
          <w:lang w:eastAsia="zh-CN"/>
        </w:rPr>
        <w:t>第四节</w:t>
      </w:r>
      <w:r>
        <w:rPr>
          <w:rFonts w:hint="eastAsia" w:ascii="宋体" w:hAnsi="宋体" w:eastAsia="宋体" w:cs="宋体"/>
          <w:color w:val="auto"/>
          <w:sz w:val="28"/>
          <w:szCs w:val="28"/>
          <w:lang w:val="en-US" w:eastAsia="zh-CN"/>
        </w:rPr>
        <w:t xml:space="preserve"> 加快建设高标准市场体系</w:t>
      </w:r>
      <w:bookmarkEnd w:id="200"/>
      <w:bookmarkEnd w:id="201"/>
      <w:bookmarkEnd w:id="202"/>
    </w:p>
    <w:p w14:paraId="1DA896BA">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snapToGrid w:val="0"/>
          <w:color w:val="auto"/>
          <w:spacing w:val="0"/>
          <w:kern w:val="0"/>
          <w:sz w:val="24"/>
          <w:szCs w:val="24"/>
          <w:lang w:val="en-US" w:eastAsia="zh-CN"/>
        </w:rPr>
        <w:t>实施高标准市场体系建设行动，</w:t>
      </w:r>
      <w:r>
        <w:rPr>
          <w:rFonts w:hint="eastAsia" w:ascii="仿宋" w:hAnsi="仿宋" w:eastAsia="仿宋" w:cs="仿宋"/>
          <w:snapToGrid w:val="0"/>
          <w:spacing w:val="0"/>
          <w:kern w:val="0"/>
          <w:sz w:val="24"/>
          <w:szCs w:val="24"/>
          <w:lang w:val="en-US" w:eastAsia="zh-CN"/>
        </w:rPr>
        <w:t>完善要素交易规则和服务体系，</w:t>
      </w:r>
      <w:r>
        <w:rPr>
          <w:rFonts w:hint="eastAsia" w:ascii="仿宋" w:hAnsi="仿宋" w:eastAsia="仿宋" w:cs="仿宋"/>
          <w:snapToGrid w:val="0"/>
          <w:color w:val="auto"/>
          <w:spacing w:val="0"/>
          <w:kern w:val="0"/>
          <w:sz w:val="24"/>
          <w:szCs w:val="24"/>
          <w:lang w:val="en-US" w:eastAsia="zh-CN"/>
        </w:rPr>
        <w:t>健全要素市场化交易平</w:t>
      </w:r>
      <w:r>
        <w:rPr>
          <w:rFonts w:hint="eastAsia" w:ascii="仿宋" w:hAnsi="仿宋" w:eastAsia="仿宋" w:cs="仿宋"/>
          <w:snapToGrid w:val="0"/>
          <w:spacing w:val="0"/>
          <w:kern w:val="0"/>
          <w:sz w:val="24"/>
          <w:szCs w:val="24"/>
          <w:lang w:val="en-US" w:eastAsia="zh-CN"/>
        </w:rPr>
        <w:t>台，实现要素价格市场决定、流动自主有序、配置高效公平。</w:t>
      </w:r>
    </w:p>
    <w:p w14:paraId="1E6B831D">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推进土地市场化配置。</w:t>
      </w:r>
      <w:r>
        <w:rPr>
          <w:rFonts w:hint="eastAsia" w:ascii="仿宋" w:hAnsi="仿宋" w:eastAsia="仿宋" w:cs="仿宋"/>
          <w:snapToGrid w:val="0"/>
          <w:spacing w:val="0"/>
          <w:kern w:val="0"/>
          <w:sz w:val="24"/>
          <w:szCs w:val="24"/>
          <w:lang w:val="en-US" w:eastAsia="zh-CN"/>
        </w:rPr>
        <w:t>创新产业用地使用方式，盘活存量低效用地。在坚持用途管制的前提下，对能源、环保、养老、殡葬、教育、体育、文化广电以及供水供气供热设施等项目，鼓励以出让、租赁方式供应土地；严格土地利用管理，工业用地须纳入白云矿区用地统一供应管理，合理确定用地结构。从建设用地开发强度、土地投资强度、人均用地指标管控和综合效益等方面，加强土地集约利用评价。</w:t>
      </w:r>
    </w:p>
    <w:p w14:paraId="39143EF3">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推进资本市场化配置。</w:t>
      </w:r>
      <w:r>
        <w:rPr>
          <w:rFonts w:hint="eastAsia" w:ascii="仿宋" w:hAnsi="仿宋" w:eastAsia="仿宋" w:cs="仿宋"/>
          <w:snapToGrid w:val="0"/>
          <w:spacing w:val="0"/>
          <w:kern w:val="0"/>
          <w:sz w:val="24"/>
          <w:szCs w:val="24"/>
          <w:lang w:val="en-US" w:eastAsia="zh-CN"/>
        </w:rPr>
        <w:t>实施融资畅通工程，建立健全缓解企业融资难、融资贵的机制和措施，强化对实体经济的金融保障。建立完善非上市企业股权登记托管、非上市企业信息披露制度。建立完善私募股权投资指引、挂牌企业推介路演、政府性投资引导基金跟投服务机制。建立健全股权资产交易转让、股权挂牌融资、私募股权基金退出机制。加快要素价格市场化改革，完善主要由市场决定要素价格机制。</w:t>
      </w:r>
    </w:p>
    <w:p w14:paraId="4B70DF1F">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snapToGrid w:val="0"/>
          <w:color w:val="auto"/>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深化要素市场体制机制改革。</w:t>
      </w:r>
      <w:r>
        <w:rPr>
          <w:rFonts w:hint="eastAsia" w:ascii="仿宋" w:hAnsi="仿宋" w:eastAsia="仿宋" w:cs="仿宋"/>
          <w:snapToGrid w:val="0"/>
          <w:spacing w:val="0"/>
          <w:kern w:val="0"/>
          <w:sz w:val="24"/>
          <w:szCs w:val="24"/>
          <w:lang w:val="en-US" w:eastAsia="zh-CN"/>
        </w:rPr>
        <w:t>深化电力体制改革，稳步推进工业园区增量配电改革工作，提高电力交易市场化程度。全面落实产权制度，健全产权执法司法保护制度和公平竞争审查机制，形成各类市场主体公平竞争的法治环境。</w:t>
      </w:r>
      <w:r>
        <w:rPr>
          <w:rFonts w:hint="eastAsia" w:ascii="仿宋" w:hAnsi="仿宋" w:eastAsia="仿宋" w:cs="仿宋"/>
          <w:snapToGrid w:val="0"/>
          <w:color w:val="auto"/>
          <w:spacing w:val="0"/>
          <w:kern w:val="0"/>
          <w:sz w:val="24"/>
          <w:szCs w:val="24"/>
          <w:lang w:val="en-US" w:eastAsia="zh-CN"/>
        </w:rPr>
        <w:t>推进公共资源交易改革，提高公共资源配置效率和公平性。</w:t>
      </w:r>
    </w:p>
    <w:p w14:paraId="28501FD4">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推进社会信用体系建设。</w:t>
      </w:r>
      <w:r>
        <w:rPr>
          <w:rFonts w:hint="eastAsia" w:ascii="仿宋" w:hAnsi="仿宋" w:eastAsia="仿宋" w:cs="仿宋"/>
          <w:snapToGrid w:val="0"/>
          <w:spacing w:val="0"/>
          <w:kern w:val="0"/>
          <w:sz w:val="24"/>
          <w:szCs w:val="24"/>
          <w:lang w:val="en-US" w:eastAsia="zh-CN"/>
        </w:rPr>
        <w:t>建设“信用白云”，建立健全贯穿市场主体全生命周期，衔接事前、事中、事后全过程监管环节的新型监管机制。加强社会信用体系和企业诚信体系建设，健全失信行为认定、失信联合惩戒、信用修复等机制。开展公共信用信息共享平台建设，不断优化公共信用平台功能。推进政务诚信建设，建立政务诚信监测治理体系。推进商务诚信建设，依法依规推进信用承诺制，开展以信用为基础的分级分类监管。推进社会诚信建设，不断拓宽信用应用场景，深入开展诚信典型选树活动，加快培育信用服务市场，强化诚信宣传教育，提升全社会诚信意识。</w:t>
      </w:r>
    </w:p>
    <w:p w14:paraId="0DECC2EB">
      <w:pPr>
        <w:pageBreakBefore w:val="0"/>
        <w:kinsoku/>
        <w:wordWrap/>
        <w:overflowPunct/>
        <w:topLinePunct w:val="0"/>
        <w:autoSpaceDE/>
        <w:autoSpaceDN/>
        <w:bidi w:val="0"/>
        <w:spacing w:line="520" w:lineRule="exact"/>
        <w:textAlignment w:val="auto"/>
        <w:rPr>
          <w:rFonts w:hint="eastAsia" w:ascii="仿宋" w:hAnsi="仿宋" w:eastAsia="仿宋" w:cs="仿宋"/>
          <w:snapToGrid w:val="0"/>
          <w:spacing w:val="0"/>
          <w:kern w:val="0"/>
          <w:sz w:val="24"/>
          <w:szCs w:val="24"/>
          <w:lang w:val="en-US" w:eastAsia="zh-CN"/>
        </w:rPr>
      </w:pPr>
    </w:p>
    <w:p w14:paraId="45DFF16A">
      <w:pPr>
        <w:pStyle w:val="7"/>
        <w:pageBreakBefore w:val="0"/>
        <w:kinsoku/>
        <w:wordWrap/>
        <w:overflowPunct/>
        <w:topLinePunct w:val="0"/>
        <w:autoSpaceDE/>
        <w:autoSpaceDN/>
        <w:bidi w:val="0"/>
        <w:spacing w:line="520" w:lineRule="exact"/>
        <w:textAlignment w:val="auto"/>
        <w:rPr>
          <w:rFonts w:hint="eastAsia" w:ascii="仿宋" w:hAnsi="仿宋" w:eastAsia="仿宋" w:cs="仿宋"/>
          <w:snapToGrid w:val="0"/>
          <w:spacing w:val="0"/>
          <w:kern w:val="0"/>
          <w:sz w:val="24"/>
          <w:szCs w:val="24"/>
          <w:lang w:val="en-US" w:eastAsia="zh-CN"/>
        </w:rPr>
      </w:pPr>
    </w:p>
    <w:p w14:paraId="6038597E">
      <w:pPr>
        <w:rPr>
          <w:rFonts w:hint="eastAsia" w:ascii="仿宋" w:hAnsi="仿宋" w:eastAsia="仿宋" w:cs="仿宋"/>
          <w:snapToGrid w:val="0"/>
          <w:spacing w:val="0"/>
          <w:kern w:val="0"/>
          <w:sz w:val="24"/>
          <w:szCs w:val="24"/>
          <w:lang w:val="en-US" w:eastAsia="zh-CN"/>
        </w:rPr>
      </w:pPr>
    </w:p>
    <w:p w14:paraId="0B3ADAE2">
      <w:pPr>
        <w:pStyle w:val="2"/>
        <w:outlineLvl w:val="9"/>
        <w:rPr>
          <w:rFonts w:hint="eastAsia"/>
          <w:lang w:val="en-US" w:eastAsia="zh-CN"/>
        </w:rPr>
      </w:pPr>
    </w:p>
    <w:p w14:paraId="49193649">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203" w:name="_Toc14430"/>
      <w:bookmarkStart w:id="204" w:name="_Toc7831"/>
      <w:bookmarkStart w:id="205" w:name="_Toc10776"/>
      <w:r>
        <w:rPr>
          <w:rFonts w:hint="eastAsia" w:ascii="Cambria" w:hAnsi="Cambria" w:eastAsia="方正黑体简体" w:cs="Times New Roman"/>
          <w:b w:val="0"/>
          <w:bCs/>
          <w:kern w:val="0"/>
          <w:sz w:val="28"/>
          <w:szCs w:val="32"/>
          <w:lang w:val="en-US" w:eastAsia="zh-CN" w:bidi="ar-SA"/>
        </w:rPr>
        <w:t>第八章  优化空间产业布局 推进</w:t>
      </w:r>
      <w:bookmarkEnd w:id="203"/>
      <w:r>
        <w:rPr>
          <w:rFonts w:hint="eastAsia" w:ascii="Cambria" w:hAnsi="Cambria" w:eastAsia="方正黑体简体" w:cs="Times New Roman"/>
          <w:b w:val="0"/>
          <w:bCs/>
          <w:kern w:val="0"/>
          <w:sz w:val="28"/>
          <w:szCs w:val="32"/>
          <w:lang w:val="en-US" w:eastAsia="zh-CN" w:bidi="ar-SA"/>
        </w:rPr>
        <w:t>新型城镇化建设</w:t>
      </w:r>
      <w:bookmarkEnd w:id="204"/>
      <w:bookmarkEnd w:id="205"/>
    </w:p>
    <w:p w14:paraId="501087BC">
      <w:pPr>
        <w:pageBreakBefore w:val="0"/>
        <w:numPr>
          <w:ilvl w:val="0"/>
          <w:numId w:val="0"/>
        </w:numPr>
        <w:kinsoku/>
        <w:wordWrap/>
        <w:overflowPunct/>
        <w:topLinePunct w:val="0"/>
        <w:autoSpaceDE/>
        <w:autoSpaceDN/>
        <w:bidi w:val="0"/>
        <w:spacing w:line="520" w:lineRule="exact"/>
        <w:ind w:leftChars="0"/>
        <w:textAlignment w:val="auto"/>
        <w:rPr>
          <w:rFonts w:hint="eastAsia" w:ascii="仿宋" w:hAnsi="仿宋" w:eastAsia="仿宋" w:cs="仿宋"/>
          <w:sz w:val="24"/>
          <w:szCs w:val="24"/>
          <w:lang w:val="en-US" w:eastAsia="zh-CN"/>
        </w:rPr>
      </w:pPr>
    </w:p>
    <w:p w14:paraId="2C6F9B6D">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bookmarkStart w:id="206" w:name="_Toc28959"/>
      <w:r>
        <w:rPr>
          <w:rFonts w:hint="eastAsia" w:ascii="仿宋" w:hAnsi="仿宋" w:eastAsia="仿宋" w:cs="仿宋"/>
          <w:snapToGrid w:val="0"/>
          <w:spacing w:val="0"/>
          <w:kern w:val="0"/>
          <w:sz w:val="24"/>
          <w:szCs w:val="24"/>
          <w:lang w:val="en-US" w:eastAsia="zh-CN"/>
        </w:rPr>
        <w:t>全面落实主体功能区制度，立足资源、环境承载能力，健全区域协调发展体制机制，构建高质量发展国土空间布局和支撑体系，推动新型城镇化建设。</w:t>
      </w:r>
      <w:bookmarkStart w:id="207" w:name="bookmark10"/>
      <w:bookmarkEnd w:id="207"/>
      <w:bookmarkStart w:id="208" w:name="bookmark9"/>
      <w:bookmarkEnd w:id="208"/>
      <w:bookmarkStart w:id="209" w:name="bookmark12"/>
      <w:bookmarkEnd w:id="209"/>
    </w:p>
    <w:p w14:paraId="53184301">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10" w:name="_Toc5571"/>
      <w:bookmarkStart w:id="211" w:name="_Toc27187"/>
      <w:bookmarkStart w:id="212" w:name="_Toc9853"/>
      <w:bookmarkStart w:id="213" w:name="_Toc8747"/>
      <w:r>
        <w:rPr>
          <w:rFonts w:hint="eastAsia" w:ascii="宋体" w:hAnsi="宋体" w:eastAsia="宋体" w:cs="宋体"/>
          <w:sz w:val="28"/>
          <w:szCs w:val="28"/>
          <w:lang w:val="en-US" w:eastAsia="zh-CN"/>
        </w:rPr>
        <w:t>第一节 国土空间</w:t>
      </w:r>
      <w:bookmarkEnd w:id="210"/>
      <w:r>
        <w:rPr>
          <w:rFonts w:hint="eastAsia" w:ascii="宋体" w:hAnsi="宋体" w:eastAsia="宋体" w:cs="宋体"/>
          <w:sz w:val="28"/>
          <w:szCs w:val="28"/>
          <w:lang w:val="en-US" w:eastAsia="zh-CN"/>
        </w:rPr>
        <w:t>布局</w:t>
      </w:r>
      <w:bookmarkEnd w:id="211"/>
      <w:bookmarkEnd w:id="212"/>
      <w:bookmarkEnd w:id="213"/>
    </w:p>
    <w:p w14:paraId="6A1DFC5C">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强化国土空间规划和用途管控，发挥《白云鄂博矿区国土空间总体规划（2020-2035）》的指导作用，依据生产、生活布局和国土空间规划形成“北矿业、南风电、中生活”的总体国土空间布局。按主体功能定位优化生产力布局，严控开发边界，构建生产空间节约高效、生活空间宜居适度、生态空间山清水秀的城市空间布局。</w:t>
      </w:r>
    </w:p>
    <w:p w14:paraId="29705DC2">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8"/>
          <w:szCs w:val="28"/>
          <w:lang w:val="en-US" w:eastAsia="zh-CN" w:bidi="ar-SA"/>
        </w:rPr>
      </w:pPr>
      <w:bookmarkStart w:id="214" w:name="_Toc30205"/>
      <w:bookmarkStart w:id="215" w:name="_Toc5929"/>
      <w:bookmarkStart w:id="216" w:name="_Toc4669"/>
      <w:bookmarkStart w:id="217" w:name="_Toc29140"/>
      <w:r>
        <w:rPr>
          <w:rFonts w:hint="eastAsia" w:ascii="宋体" w:hAnsi="宋体" w:eastAsia="宋体" w:cs="宋体"/>
          <w:sz w:val="28"/>
          <w:szCs w:val="28"/>
          <w:lang w:val="en-US" w:eastAsia="zh-CN"/>
        </w:rPr>
        <w:t>第二节 产业</w:t>
      </w:r>
      <w:bookmarkEnd w:id="214"/>
      <w:bookmarkEnd w:id="215"/>
      <w:r>
        <w:rPr>
          <w:rFonts w:hint="eastAsia" w:ascii="宋体" w:hAnsi="宋体" w:cs="宋体"/>
          <w:sz w:val="28"/>
          <w:szCs w:val="28"/>
          <w:lang w:val="en-US" w:eastAsia="zh-CN"/>
        </w:rPr>
        <w:t>发展布局</w:t>
      </w:r>
      <w:bookmarkEnd w:id="216"/>
      <w:bookmarkEnd w:id="217"/>
    </w:p>
    <w:p w14:paraId="189A6237">
      <w:pPr>
        <w:pageBreakBefore w:val="0"/>
        <w:kinsoku/>
        <w:wordWrap/>
        <w:overflowPunct/>
        <w:topLinePunct w:val="0"/>
        <w:autoSpaceDE/>
        <w:autoSpaceDN/>
        <w:bidi w:val="0"/>
        <w:spacing w:line="520" w:lineRule="exact"/>
        <w:ind w:left="0" w:firstLine="480" w:firstLineChars="200"/>
        <w:jc w:val="both"/>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积极构建“一带、一核、四基地”的产业发展布局，</w:t>
      </w:r>
      <w:r>
        <w:rPr>
          <w:rFonts w:hint="eastAsia" w:ascii="仿宋" w:hAnsi="仿宋" w:eastAsia="仿宋" w:cs="仿宋"/>
          <w:b w:val="0"/>
          <w:bCs w:val="0"/>
          <w:snapToGrid w:val="0"/>
          <w:color w:val="auto"/>
          <w:spacing w:val="0"/>
          <w:kern w:val="0"/>
          <w:sz w:val="24"/>
          <w:szCs w:val="24"/>
          <w:lang w:val="en-US" w:eastAsia="zh-CN" w:bidi="ar-SA"/>
        </w:rPr>
        <w:t>促进区域产业协调发展。</w:t>
      </w:r>
      <w:r>
        <w:rPr>
          <w:rFonts w:hint="eastAsia" w:ascii="仿宋" w:hAnsi="仿宋" w:eastAsia="仿宋" w:cs="仿宋"/>
          <w:snapToGrid w:val="0"/>
          <w:color w:val="auto"/>
          <w:spacing w:val="0"/>
          <w:kern w:val="0"/>
          <w:sz w:val="24"/>
          <w:szCs w:val="24"/>
          <w:lang w:val="en-US" w:eastAsia="zh-CN" w:bidi="ar-SA"/>
        </w:rPr>
        <w:t>鼓励和支持与周边旗县区联动协同发展，共同打造包头市山北经济发展带。</w:t>
      </w:r>
    </w:p>
    <w:p w14:paraId="5C995343">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2"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bCs/>
          <w:snapToGrid w:val="0"/>
          <w:color w:val="auto"/>
          <w:spacing w:val="0"/>
          <w:kern w:val="0"/>
          <w:sz w:val="24"/>
          <w:szCs w:val="24"/>
          <w:lang w:val="en-US" w:eastAsia="zh-CN" w:bidi="ar-SA"/>
        </w:rPr>
        <w:t>一带：</w:t>
      </w:r>
      <w:r>
        <w:rPr>
          <w:rFonts w:hint="eastAsia" w:ascii="仿宋" w:hAnsi="仿宋" w:eastAsia="仿宋" w:cs="仿宋"/>
          <w:snapToGrid w:val="0"/>
          <w:color w:val="auto"/>
          <w:spacing w:val="0"/>
          <w:kern w:val="0"/>
          <w:sz w:val="24"/>
          <w:szCs w:val="24"/>
          <w:lang w:val="en-US" w:eastAsia="zh-CN" w:bidi="ar-SA"/>
        </w:rPr>
        <w:t>即产业发展带。构建产业发展主轴带，依托区域横向交通网，串联东西两大功能区，引领产业集聚发展。</w:t>
      </w:r>
    </w:p>
    <w:p w14:paraId="72D1B534">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2"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bCs/>
          <w:snapToGrid w:val="0"/>
          <w:color w:val="auto"/>
          <w:spacing w:val="0"/>
          <w:kern w:val="0"/>
          <w:sz w:val="24"/>
          <w:szCs w:val="24"/>
          <w:lang w:val="en-US" w:eastAsia="zh-CN" w:bidi="ar-SA"/>
        </w:rPr>
        <w:t>一核：</w:t>
      </w:r>
      <w:r>
        <w:rPr>
          <w:rFonts w:hint="eastAsia" w:ascii="仿宋" w:hAnsi="仿宋" w:eastAsia="仿宋" w:cs="仿宋"/>
          <w:snapToGrid w:val="0"/>
          <w:color w:val="auto"/>
          <w:spacing w:val="0"/>
          <w:kern w:val="0"/>
          <w:sz w:val="24"/>
          <w:szCs w:val="24"/>
          <w:lang w:val="en-US" w:eastAsia="zh-CN" w:bidi="ar-SA"/>
        </w:rPr>
        <w:t xml:space="preserve">即核心配套服务区。主要根据现在城区发展轨迹，位于城区中间地带的生活聚集区，为产业发展与生产生活提供配套服务，形成产城融合新格局。  </w:t>
      </w:r>
    </w:p>
    <w:p w14:paraId="1FCB1280">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2" w:firstLineChars="200"/>
        <w:textAlignment w:val="auto"/>
        <w:rPr>
          <w:rFonts w:hint="eastAsia" w:ascii="仿宋" w:hAnsi="仿宋" w:eastAsia="仿宋" w:cs="仿宋"/>
          <w:b/>
          <w:bCs/>
          <w:snapToGrid w:val="0"/>
          <w:color w:val="auto"/>
          <w:spacing w:val="0"/>
          <w:kern w:val="0"/>
          <w:sz w:val="24"/>
          <w:szCs w:val="24"/>
          <w:lang w:val="en-US" w:eastAsia="zh-CN" w:bidi="ar-SA"/>
        </w:rPr>
      </w:pPr>
      <w:r>
        <w:rPr>
          <w:rFonts w:hint="eastAsia" w:ascii="仿宋" w:hAnsi="仿宋" w:eastAsia="仿宋" w:cs="仿宋"/>
          <w:b/>
          <w:bCs/>
          <w:snapToGrid w:val="0"/>
          <w:color w:val="auto"/>
          <w:spacing w:val="0"/>
          <w:kern w:val="0"/>
          <w:sz w:val="24"/>
          <w:szCs w:val="24"/>
          <w:lang w:val="en-US" w:eastAsia="zh-CN" w:bidi="ar-SA"/>
        </w:rPr>
        <w:t>四基地：</w:t>
      </w:r>
    </w:p>
    <w:p w14:paraId="6627FEAF">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——国家级矿产资源综合利用示范基地。依托我区白云铁矿、宝山矿业产业带进行布局；</w:t>
      </w:r>
    </w:p>
    <w:p w14:paraId="3AF44E4D">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——国家级绿色矿山示范基地。主要依托西部矿产资源聚集区，以及整体城区的绿化进行全域布局；</w:t>
      </w:r>
    </w:p>
    <w:p w14:paraId="64042A3E">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——新能源输出基地。主要围绕我区南部区风光发电地带进行布局；</w:t>
      </w:r>
    </w:p>
    <w:p w14:paraId="21206703">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——蒙西特色旅游基地。主要依托草原英雄小姐妹事迹馆、矿山公园、白云铁矿进行布局。</w:t>
      </w:r>
      <w:bookmarkStart w:id="218" w:name="_Toc21479"/>
    </w:p>
    <w:p w14:paraId="7101D9C7">
      <w:pPr>
        <w:pStyle w:val="4"/>
        <w:pageBreakBefore w:val="0"/>
        <w:numPr>
          <w:ilvl w:val="0"/>
          <w:numId w:val="0"/>
        </w:numPr>
        <w:tabs>
          <w:tab w:val="left" w:pos="0"/>
        </w:tabs>
        <w:kinsoku/>
        <w:wordWrap/>
        <w:overflowPunct/>
        <w:topLinePunct w:val="0"/>
        <w:autoSpaceDE/>
        <w:autoSpaceDN/>
        <w:bidi w:val="0"/>
        <w:spacing w:line="520" w:lineRule="exact"/>
        <w:ind w:leftChars="0"/>
        <w:jc w:val="center"/>
        <w:textAlignment w:val="auto"/>
        <w:rPr>
          <w:rFonts w:hint="eastAsia" w:ascii="宋体" w:hAnsi="宋体" w:eastAsia="宋体" w:cs="宋体"/>
          <w:sz w:val="28"/>
          <w:szCs w:val="28"/>
          <w:lang w:val="en-US" w:eastAsia="zh-CN"/>
        </w:rPr>
      </w:pPr>
      <w:bookmarkStart w:id="219" w:name="_Toc13321"/>
      <w:bookmarkStart w:id="220" w:name="_Toc14614"/>
      <w:bookmarkStart w:id="221" w:name="_Toc518"/>
      <w:r>
        <w:rPr>
          <w:rFonts w:hint="eastAsia" w:ascii="宋体" w:hAnsi="宋体" w:eastAsia="宋体" w:cs="宋体"/>
          <w:sz w:val="28"/>
          <w:szCs w:val="28"/>
          <w:lang w:val="en-US" w:eastAsia="zh-CN"/>
        </w:rPr>
        <w:t xml:space="preserve">第三节 </w:t>
      </w:r>
      <w:bookmarkEnd w:id="218"/>
      <w:r>
        <w:rPr>
          <w:rFonts w:hint="eastAsia" w:ascii="宋体" w:hAnsi="宋体" w:eastAsia="宋体" w:cs="宋体"/>
          <w:sz w:val="28"/>
          <w:szCs w:val="28"/>
          <w:lang w:val="en-US" w:eastAsia="zh-CN"/>
        </w:rPr>
        <w:t>新型城镇化</w:t>
      </w:r>
      <w:bookmarkEnd w:id="219"/>
      <w:r>
        <w:rPr>
          <w:rFonts w:hint="eastAsia" w:ascii="宋体" w:hAnsi="宋体" w:cs="宋体"/>
          <w:sz w:val="28"/>
          <w:szCs w:val="28"/>
          <w:lang w:val="en-US" w:eastAsia="zh-CN"/>
        </w:rPr>
        <w:t>建设</w:t>
      </w:r>
      <w:bookmarkEnd w:id="220"/>
      <w:bookmarkEnd w:id="221"/>
    </w:p>
    <w:p w14:paraId="4929A03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zh-CN" w:eastAsia="zh-CN" w:bidi="ar-SA"/>
        </w:rPr>
        <w:t>以人为核心，</w:t>
      </w:r>
      <w:r>
        <w:rPr>
          <w:rFonts w:hint="eastAsia" w:ascii="仿宋" w:hAnsi="仿宋" w:eastAsia="仿宋" w:cs="仿宋"/>
          <w:snapToGrid w:val="0"/>
          <w:color w:val="auto"/>
          <w:spacing w:val="0"/>
          <w:kern w:val="0"/>
          <w:sz w:val="24"/>
          <w:szCs w:val="24"/>
          <w:lang w:val="en-US" w:eastAsia="zh-CN" w:bidi="ar-SA"/>
        </w:rPr>
        <w:t>加强城市整体设计，保护历史文化、传统风貌和格局，营造城市高品质生产、生活、生态环境。强化城市重要节点景观、建筑的特色塑造。</w:t>
      </w:r>
      <w:r>
        <w:rPr>
          <w:rFonts w:hint="eastAsia" w:ascii="仿宋" w:hAnsi="仿宋" w:eastAsia="仿宋" w:cs="仿宋"/>
          <w:snapToGrid w:val="0"/>
          <w:color w:val="auto"/>
          <w:spacing w:val="0"/>
          <w:kern w:val="0"/>
          <w:sz w:val="24"/>
          <w:szCs w:val="24"/>
          <w:lang w:val="zh-CN" w:eastAsia="zh-CN" w:bidi="ar-SA"/>
        </w:rPr>
        <w:t>把精品意识贯穿到城市建设各环节、各领域、各阶段，坚持高起点规划、高水平建设、高标准管理，持续改善提升城市功能品质。</w:t>
      </w:r>
      <w:r>
        <w:rPr>
          <w:rFonts w:hint="eastAsia" w:ascii="仿宋" w:hAnsi="仿宋" w:eastAsia="仿宋" w:cs="仿宋"/>
          <w:snapToGrid w:val="0"/>
          <w:color w:val="auto"/>
          <w:spacing w:val="0"/>
          <w:kern w:val="0"/>
          <w:sz w:val="24"/>
          <w:szCs w:val="24"/>
          <w:lang w:val="en-US" w:eastAsia="zh-CN" w:bidi="ar-SA"/>
        </w:rPr>
        <w:t>推进</w:t>
      </w:r>
      <w:r>
        <w:rPr>
          <w:rFonts w:hint="eastAsia" w:ascii="仿宋" w:hAnsi="仿宋" w:eastAsia="仿宋" w:cs="仿宋"/>
          <w:snapToGrid w:val="0"/>
          <w:color w:val="auto"/>
          <w:spacing w:val="0"/>
          <w:kern w:val="0"/>
          <w:sz w:val="24"/>
          <w:szCs w:val="24"/>
          <w:lang w:val="zh-CN" w:eastAsia="zh-CN" w:bidi="ar-SA"/>
        </w:rPr>
        <w:t>市政公用设施提档升级、公共服务设施提标扩面，产业配套设施提质增效，全面提升城市服务功能，提升城市精细化管理水平。</w:t>
      </w:r>
      <w:r>
        <w:rPr>
          <w:rFonts w:hint="eastAsia" w:ascii="仿宋" w:hAnsi="仿宋" w:eastAsia="仿宋" w:cs="仿宋"/>
          <w:snapToGrid w:val="0"/>
          <w:color w:val="auto"/>
          <w:spacing w:val="0"/>
          <w:kern w:val="0"/>
          <w:sz w:val="24"/>
          <w:szCs w:val="24"/>
          <w:lang w:val="en-US" w:eastAsia="zh-CN" w:bidi="ar-SA"/>
        </w:rPr>
        <w:t>全面优化升级医疗卫生、教育培训、养老托育、文旅体育、社会福利等综合服务质量，积极实施环境卫生设施提级扩能工程，全部实现污水集中处理、垃圾无害化、资源化处理。大力推进智慧城市建设，</w:t>
      </w:r>
      <w:r>
        <w:rPr>
          <w:rFonts w:hint="eastAsia" w:ascii="仿宋" w:hAnsi="仿宋" w:eastAsia="仿宋" w:cs="仿宋"/>
          <w:snapToGrid w:val="0"/>
          <w:color w:val="auto"/>
          <w:spacing w:val="0"/>
          <w:kern w:val="0"/>
          <w:sz w:val="24"/>
          <w:szCs w:val="24"/>
          <w:lang w:val="zh-CN" w:eastAsia="zh-CN" w:bidi="ar-SA"/>
        </w:rPr>
        <w:t>运用5G技术赋能城市管理，</w:t>
      </w:r>
      <w:r>
        <w:rPr>
          <w:rFonts w:hint="eastAsia" w:ascii="仿宋" w:hAnsi="仿宋" w:eastAsia="仿宋" w:cs="仿宋"/>
          <w:snapToGrid w:val="0"/>
          <w:color w:val="auto"/>
          <w:spacing w:val="0"/>
          <w:kern w:val="0"/>
          <w:sz w:val="24"/>
          <w:szCs w:val="24"/>
          <w:lang w:val="en-US" w:eastAsia="zh-CN" w:bidi="ar-SA"/>
        </w:rPr>
        <w:t>推动城市管理向“智管、细管、众管”转变，</w:t>
      </w:r>
      <w:r>
        <w:rPr>
          <w:rFonts w:hint="eastAsia" w:ascii="仿宋" w:hAnsi="仿宋" w:eastAsia="仿宋" w:cs="仿宋"/>
          <w:snapToGrid w:val="0"/>
          <w:color w:val="auto"/>
          <w:spacing w:val="0"/>
          <w:kern w:val="0"/>
          <w:sz w:val="24"/>
          <w:szCs w:val="24"/>
          <w:lang w:val="zh-CN" w:eastAsia="zh-CN" w:bidi="ar-SA"/>
        </w:rPr>
        <w:t>构建数字化治理和服务体系，</w:t>
      </w:r>
      <w:r>
        <w:rPr>
          <w:rFonts w:hint="eastAsia" w:ascii="仿宋" w:hAnsi="仿宋" w:eastAsia="仿宋" w:cs="仿宋"/>
          <w:snapToGrid w:val="0"/>
          <w:color w:val="auto"/>
          <w:spacing w:val="0"/>
          <w:kern w:val="0"/>
          <w:sz w:val="24"/>
          <w:szCs w:val="24"/>
          <w:lang w:val="en-US" w:eastAsia="zh-CN" w:bidi="ar-SA"/>
        </w:rPr>
        <w:t>打造和谐平安干净整洁的最美</w:t>
      </w:r>
      <w:r>
        <w:rPr>
          <w:rFonts w:hint="eastAsia" w:ascii="仿宋" w:hAnsi="仿宋" w:eastAsia="仿宋" w:cs="仿宋"/>
          <w:snapToGrid w:val="0"/>
          <w:color w:val="auto"/>
          <w:spacing w:val="0"/>
          <w:kern w:val="0"/>
          <w:sz w:val="24"/>
          <w:szCs w:val="24"/>
          <w:lang w:val="zh-CN" w:eastAsia="zh-CN" w:bidi="ar-SA"/>
        </w:rPr>
        <w:t>人居环境。</w:t>
      </w:r>
      <w:r>
        <w:rPr>
          <w:rFonts w:hint="eastAsia" w:ascii="仿宋" w:hAnsi="仿宋" w:eastAsia="仿宋" w:cs="仿宋"/>
          <w:snapToGrid w:val="0"/>
          <w:color w:val="auto"/>
          <w:spacing w:val="0"/>
          <w:kern w:val="0"/>
          <w:sz w:val="24"/>
          <w:szCs w:val="24"/>
          <w:lang w:val="en-US" w:eastAsia="zh-CN" w:bidi="ar-SA"/>
        </w:rPr>
        <w:t>坚持强化源头治理、系统治理和依法治理，有效破解城市管理难题。全面推行“街长制”，常态化开展“马路办公”，深化“人民城市为人民、人民城市人民建”的理念，努力实现城市让生活更美好。</w:t>
      </w:r>
    </w:p>
    <w:p w14:paraId="65F46EC0">
      <w:pPr>
        <w:rPr>
          <w:rFonts w:hint="eastAsia" w:ascii="仿宋" w:hAnsi="仿宋" w:eastAsia="仿宋" w:cs="仿宋"/>
          <w:b w:val="0"/>
          <w:bCs w:val="0"/>
          <w:color w:val="000000"/>
          <w:spacing w:val="0"/>
          <w:w w:val="100"/>
          <w:position w:val="0"/>
          <w:sz w:val="24"/>
          <w:szCs w:val="24"/>
          <w:highlight w:val="none"/>
          <w:u w:val="none"/>
          <w:shd w:val="clear" w:color="auto" w:fill="auto"/>
          <w:lang w:val="zh-CN" w:eastAsia="zh-CN" w:bidi="en-US"/>
        </w:rPr>
      </w:pPr>
    </w:p>
    <w:p w14:paraId="2BA9B981">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bookmarkStart w:id="222" w:name="_Toc26864"/>
      <w:bookmarkStart w:id="223" w:name="_Toc17867"/>
    </w:p>
    <w:p w14:paraId="603F2C52">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67EF6875">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573D238B">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2D1D24A6">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2F6C3B43">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343063EB">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0D7F98D7">
      <w:pPr>
        <w:rPr>
          <w:rFonts w:hint="eastAsia" w:ascii="Cambria" w:hAnsi="Cambria" w:eastAsia="方正黑体简体" w:cs="Times New Roman"/>
          <w:b w:val="0"/>
          <w:bCs/>
          <w:kern w:val="0"/>
          <w:sz w:val="28"/>
          <w:szCs w:val="32"/>
          <w:lang w:val="en-US" w:eastAsia="zh-CN" w:bidi="ar-SA"/>
        </w:rPr>
      </w:pPr>
    </w:p>
    <w:p w14:paraId="0AFA643D">
      <w:pPr>
        <w:pStyle w:val="2"/>
        <w:outlineLvl w:val="9"/>
        <w:rPr>
          <w:rFonts w:hint="eastAsia"/>
          <w:lang w:val="en-US" w:eastAsia="zh-CN"/>
        </w:rPr>
      </w:pPr>
    </w:p>
    <w:p w14:paraId="34860A73">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224" w:name="_Toc8028"/>
      <w:r>
        <w:rPr>
          <w:rFonts w:hint="eastAsia" w:ascii="Cambria" w:hAnsi="Cambria" w:eastAsia="方正黑体简体" w:cs="Times New Roman"/>
          <w:b w:val="0"/>
          <w:bCs/>
          <w:kern w:val="0"/>
          <w:sz w:val="28"/>
          <w:szCs w:val="32"/>
          <w:lang w:val="en-US" w:eastAsia="zh-CN" w:bidi="ar-SA"/>
        </w:rPr>
        <w:t>第九章 繁荣文化事业 提升文化软实力</w:t>
      </w:r>
      <w:bookmarkEnd w:id="206"/>
      <w:bookmarkEnd w:id="222"/>
      <w:bookmarkEnd w:id="223"/>
      <w:bookmarkEnd w:id="224"/>
    </w:p>
    <w:p w14:paraId="22F339A4">
      <w:pPr>
        <w:pageBreakBefore w:val="0"/>
        <w:numPr>
          <w:ilvl w:val="0"/>
          <w:numId w:val="0"/>
        </w:numPr>
        <w:kinsoku/>
        <w:wordWrap/>
        <w:overflowPunct/>
        <w:topLinePunct w:val="0"/>
        <w:autoSpaceDE/>
        <w:autoSpaceDN/>
        <w:bidi w:val="0"/>
        <w:spacing w:line="520" w:lineRule="exact"/>
        <w:ind w:leftChars="-95"/>
        <w:textAlignment w:val="auto"/>
        <w:rPr>
          <w:rFonts w:hint="eastAsia" w:ascii="仿宋" w:hAnsi="仿宋" w:eastAsia="仿宋" w:cs="仿宋"/>
          <w:sz w:val="24"/>
          <w:szCs w:val="24"/>
          <w:lang w:val="en-US" w:eastAsia="zh-CN"/>
        </w:rPr>
      </w:pPr>
    </w:p>
    <w:p w14:paraId="44DA1C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坚持以社会主义核心价值观引领文化建设，加强社会主义精神文明建设，深入落实文化强国战略，推进文化强区建设，坚定文化自信，促进满足人民文化需求和增强人民精神力量相统一。</w:t>
      </w:r>
    </w:p>
    <w:p w14:paraId="72A5E980">
      <w:pPr>
        <w:pStyle w:val="4"/>
        <w:pageBreakBefore w:val="0"/>
        <w:numPr>
          <w:ilvl w:val="0"/>
          <w:numId w:val="4"/>
        </w:numPr>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25" w:name="_Toc900"/>
      <w:bookmarkStart w:id="226" w:name="_Toc29098"/>
      <w:r>
        <w:rPr>
          <w:rFonts w:hint="eastAsia" w:ascii="宋体" w:hAnsi="宋体" w:cs="宋体"/>
          <w:sz w:val="28"/>
          <w:szCs w:val="28"/>
          <w:lang w:val="en-US" w:eastAsia="zh-CN"/>
        </w:rPr>
        <w:t xml:space="preserve">  </w:t>
      </w:r>
      <w:bookmarkStart w:id="227" w:name="_Toc21512"/>
      <w:bookmarkStart w:id="228" w:name="_Toc1058"/>
      <w:r>
        <w:rPr>
          <w:rFonts w:hint="eastAsia" w:ascii="宋体" w:hAnsi="宋体" w:eastAsia="宋体" w:cs="宋体"/>
          <w:sz w:val="28"/>
          <w:szCs w:val="28"/>
          <w:lang w:val="en-US" w:eastAsia="zh-CN"/>
        </w:rPr>
        <w:t>推进文明</w:t>
      </w:r>
      <w:r>
        <w:rPr>
          <w:rFonts w:hint="eastAsia" w:ascii="宋体" w:hAnsi="宋体" w:cs="宋体"/>
          <w:sz w:val="28"/>
          <w:szCs w:val="28"/>
          <w:lang w:val="en-US" w:eastAsia="zh-CN"/>
        </w:rPr>
        <w:t>白云</w:t>
      </w:r>
      <w:r>
        <w:rPr>
          <w:rFonts w:hint="eastAsia" w:ascii="宋体" w:hAnsi="宋体" w:eastAsia="宋体" w:cs="宋体"/>
          <w:sz w:val="28"/>
          <w:szCs w:val="28"/>
          <w:lang w:val="en-US" w:eastAsia="zh-CN"/>
        </w:rPr>
        <w:t>建设</w:t>
      </w:r>
      <w:bookmarkEnd w:id="225"/>
      <w:bookmarkEnd w:id="226"/>
      <w:bookmarkEnd w:id="227"/>
      <w:bookmarkEnd w:id="228"/>
    </w:p>
    <w:p w14:paraId="1B3B031C">
      <w:pPr>
        <w:pStyle w:val="26"/>
        <w:pageBreakBefore w:val="0"/>
        <w:kinsoku/>
        <w:wordWrap/>
        <w:overflowPunct/>
        <w:topLinePunct w:val="0"/>
        <w:autoSpaceDE/>
        <w:autoSpaceDN/>
        <w:bidi w:val="0"/>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深入开展文明城市建设，加强市民文明素质教育，提升市民综合素质，打造美丽整洁的生活环境、规范有序的社会秩序、便捷高效的公共服务。</w:t>
      </w:r>
      <w:r>
        <w:rPr>
          <w:rFonts w:hint="eastAsia" w:ascii="仿宋" w:hAnsi="仿宋" w:eastAsia="仿宋" w:cs="仿宋"/>
          <w:b w:val="0"/>
          <w:bCs w:val="0"/>
          <w:snapToGrid w:val="0"/>
          <w:color w:val="auto"/>
          <w:spacing w:val="0"/>
          <w:kern w:val="0"/>
          <w:sz w:val="24"/>
          <w:szCs w:val="24"/>
          <w:lang w:val="en-US" w:eastAsia="zh-CN" w:bidi="ar-SA"/>
        </w:rPr>
        <w:t>加强新时代公民道德建设和爱国主义教育，</w:t>
      </w:r>
      <w:r>
        <w:rPr>
          <w:rFonts w:hint="eastAsia" w:ascii="仿宋" w:hAnsi="仿宋" w:eastAsia="仿宋" w:cs="仿宋"/>
          <w:snapToGrid w:val="0"/>
          <w:color w:val="auto"/>
          <w:spacing w:val="0"/>
          <w:kern w:val="0"/>
          <w:sz w:val="24"/>
          <w:szCs w:val="24"/>
          <w:lang w:val="en-US" w:eastAsia="zh-CN" w:bidi="ar-SA"/>
        </w:rPr>
        <w:t>弘扬民族精神和时代精神，培育树立社会主义核心价值观，培育时代新人，引导和激励全区干部群众不断提高思想道德教育素质和文明素质，提高全民社会文明程度。</w:t>
      </w:r>
    </w:p>
    <w:p w14:paraId="60101C19">
      <w:pPr>
        <w:pageBreakBefore w:val="0"/>
        <w:kinsoku/>
        <w:wordWrap/>
        <w:overflowPunct/>
        <w:topLinePunct w:val="0"/>
        <w:autoSpaceDE/>
        <w:autoSpaceDN/>
        <w:bidi w:val="0"/>
        <w:spacing w:line="520" w:lineRule="exact"/>
        <w:ind w:firstLine="480" w:firstLineChars="200"/>
        <w:jc w:val="both"/>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深化文明家庭创建，以注重家庭、注重家教、注重家风为着力点，促进家庭和睦，促进亲人相亲相爱，促进下一代健康成长，促进老年人老有所养，使千千万万个家庭成为国家发展、民族进步、社会和谐的重要基点。</w:t>
      </w:r>
    </w:p>
    <w:p w14:paraId="5057C12E">
      <w:pPr>
        <w:pageBreakBefore w:val="0"/>
        <w:kinsoku/>
        <w:wordWrap/>
        <w:overflowPunct/>
        <w:topLinePunct w:val="0"/>
        <w:autoSpaceDE/>
        <w:autoSpaceDN/>
        <w:bidi w:val="0"/>
        <w:spacing w:line="520" w:lineRule="exact"/>
        <w:ind w:left="0" w:firstLine="480" w:firstLineChars="200"/>
        <w:jc w:val="both"/>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网上思想文化阵地建设，发展积极健康的网络文化，健全社会舆情引导机制，构建覆盖广泛的舆论引导网络新体系。加大网上突出问题的治理力度，净化网络环境。强化新闻媒体社会责任，提升新闻队伍的政治素质和业务素质。</w:t>
      </w:r>
    </w:p>
    <w:p w14:paraId="389613DF">
      <w:pPr>
        <w:pStyle w:val="4"/>
        <w:pageBreakBefore w:val="0"/>
        <w:numPr>
          <w:ilvl w:val="0"/>
          <w:numId w:val="4"/>
        </w:numPr>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29" w:name="_Toc30182"/>
      <w:bookmarkStart w:id="230" w:name="_Toc11599"/>
      <w:r>
        <w:rPr>
          <w:rFonts w:hint="eastAsia" w:ascii="宋体" w:hAnsi="宋体" w:cs="宋体"/>
          <w:sz w:val="28"/>
          <w:szCs w:val="28"/>
          <w:lang w:val="en-US" w:eastAsia="zh-CN"/>
        </w:rPr>
        <w:t xml:space="preserve">  </w:t>
      </w:r>
      <w:bookmarkStart w:id="231" w:name="_Toc10876"/>
      <w:bookmarkStart w:id="232" w:name="_Toc27815"/>
      <w:r>
        <w:rPr>
          <w:rFonts w:hint="eastAsia" w:ascii="宋体" w:hAnsi="宋体" w:eastAsia="宋体" w:cs="宋体"/>
          <w:sz w:val="28"/>
          <w:szCs w:val="28"/>
          <w:lang w:val="en-US" w:eastAsia="zh-CN"/>
        </w:rPr>
        <w:t>提升公共文化服务水平</w:t>
      </w:r>
      <w:bookmarkEnd w:id="229"/>
      <w:bookmarkEnd w:id="230"/>
      <w:bookmarkEnd w:id="231"/>
      <w:bookmarkEnd w:id="232"/>
    </w:p>
    <w:p w14:paraId="3ECCF1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大力开展具有山北地区特色的文化、体育活动。倡导全民阅读，推进学习型矿区建设，提高居民整体文化素养。推动基本公共文化服务标准化、均等化发展，引导文化资源向全民化便民化发展。大力实施公共文化服务提升工程，重点提升公共图书馆、文化馆、文化站服务能力，升级白云矿区现有图书馆达到三类图书馆。依托民间艺术团体，充分挖掘我区特有的矿山文化、红色文化元素，积极创作一批为人民群众所喜闻乐见的优秀文艺作品。发挥档案馆爱国主义教育基地功能，充分彰显档案存凭、留史、资政、育人的独特作用。</w:t>
      </w:r>
    </w:p>
    <w:p w14:paraId="190A5B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大力发展数字文化。积极推进“互联网+公共文化”，建立公共文化大数据服务平台，文化传播大数据综合服务平台。加快文化产品和服务的生产、传播、消费的数字化和网络化进程，丰富数字媒体、5D动漫、VR游戏和视频等数字内容供给。促进数字影视、互联网新媒体、文化艺术设计等新业态发展。</w:t>
      </w:r>
    </w:p>
    <w:tbl>
      <w:tblPr>
        <w:tblStyle w:val="13"/>
        <w:tblpPr w:leftFromText="180" w:rightFromText="180" w:vertAnchor="text" w:horzAnchor="page" w:tblpX="1537" w:tblpY="438"/>
        <w:tblOverlap w:val="never"/>
        <w:tblW w:w="5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tblGrid>
      <w:tr w14:paraId="391D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trPr>
        <w:tc>
          <w:tcPr>
            <w:tcW w:w="5550" w:type="dxa"/>
            <w:tcBorders>
              <w:top w:val="single" w:color="auto" w:sz="4" w:space="0"/>
              <w:left w:val="single" w:color="auto" w:sz="4" w:space="0"/>
              <w:bottom w:val="single" w:color="auto" w:sz="4" w:space="0"/>
              <w:right w:val="single" w:color="auto" w:sz="4" w:space="0"/>
            </w:tcBorders>
            <w:noWrap/>
          </w:tcPr>
          <w:p w14:paraId="1061F66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12 提升公共文化服务水平</w:t>
            </w:r>
          </w:p>
          <w:p w14:paraId="4A6F55F7">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白云鄂博矿区矿山博物馆建设项目：</w:t>
            </w:r>
            <w:r>
              <w:rPr>
                <w:rFonts w:hint="eastAsia" w:ascii="仿宋" w:hAnsi="仿宋" w:eastAsia="仿宋" w:cs="仿宋"/>
                <w:b w:val="0"/>
                <w:bCs w:val="0"/>
                <w:sz w:val="24"/>
                <w:szCs w:val="24"/>
                <w:highlight w:val="none"/>
                <w:lang w:val="en-US" w:eastAsia="zh-CN"/>
              </w:rPr>
              <w:t>建设包括矿山展览馆、矿物标本展览馆、奇石展览馆、稀土展览馆、规划馆及其他功能用房；</w:t>
            </w:r>
          </w:p>
          <w:p w14:paraId="01D55588">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白云鄂博矿区体育公园建设项目：</w:t>
            </w:r>
            <w:r>
              <w:rPr>
                <w:rFonts w:hint="eastAsia" w:ascii="仿宋" w:hAnsi="仿宋" w:eastAsia="仿宋" w:cs="仿宋"/>
                <w:b w:val="0"/>
                <w:bCs w:val="0"/>
                <w:sz w:val="24"/>
                <w:szCs w:val="24"/>
                <w:highlight w:val="none"/>
                <w:lang w:val="en-US" w:eastAsia="zh-CN"/>
              </w:rPr>
              <w:t>将已建成的丁香胡杨林公园改造为体育公园，在公园内建设羽毛球、乒乓球、篮球、健身步道等运动项目场地和设施，打造户外拓展训练基地。</w:t>
            </w:r>
          </w:p>
        </w:tc>
      </w:tr>
    </w:tbl>
    <w:p w14:paraId="2982708F">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sz w:val="28"/>
          <w:szCs w:val="28"/>
          <w:shd w:val="clear" w:color="auto" w:fill="FFFFFF"/>
          <w:lang w:val="en-US" w:eastAsia="zh-CN"/>
        </w:rPr>
      </w:pPr>
      <w:bookmarkStart w:id="233" w:name="_Toc10000"/>
      <w:bookmarkStart w:id="234" w:name="_Toc10452"/>
      <w:bookmarkStart w:id="235" w:name="_Toc4926"/>
      <w:bookmarkStart w:id="236" w:name="_Toc5642"/>
      <w:r>
        <w:rPr>
          <w:rFonts w:hint="eastAsia" w:ascii="宋体" w:hAnsi="宋体" w:eastAsia="宋体" w:cs="宋体"/>
          <w:sz w:val="28"/>
          <w:szCs w:val="28"/>
          <w:lang w:val="en-US" w:eastAsia="zh-CN"/>
        </w:rPr>
        <w:t>第三节  推进文化旅游业融合发展</w:t>
      </w:r>
      <w:bookmarkEnd w:id="233"/>
      <w:bookmarkEnd w:id="234"/>
      <w:bookmarkEnd w:id="235"/>
      <w:bookmarkEnd w:id="236"/>
    </w:p>
    <w:p w14:paraId="40E73635">
      <w:pPr>
        <w:pStyle w:val="26"/>
        <w:pageBreakBefore w:val="0"/>
        <w:kinsoku/>
        <w:wordWrap/>
        <w:overflowPunct/>
        <w:topLinePunct w:val="0"/>
        <w:autoSpaceDE/>
        <w:autoSpaceDN/>
        <w:bidi w:val="0"/>
        <w:spacing w:line="520" w:lineRule="exact"/>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val="0"/>
          <w:bCs w:val="0"/>
          <w:snapToGrid w:val="0"/>
          <w:color w:val="auto"/>
          <w:spacing w:val="0"/>
          <w:kern w:val="0"/>
          <w:sz w:val="24"/>
          <w:szCs w:val="24"/>
          <w:lang w:val="en-US" w:eastAsia="zh-CN" w:bidi="ar-SA"/>
        </w:rPr>
        <w:t>加快文化旅游融合发展。</w:t>
      </w:r>
      <w:r>
        <w:rPr>
          <w:rFonts w:hint="eastAsia" w:ascii="仿宋" w:hAnsi="仿宋" w:eastAsia="仿宋" w:cs="仿宋"/>
          <w:snapToGrid w:val="0"/>
          <w:color w:val="auto"/>
          <w:spacing w:val="0"/>
          <w:kern w:val="0"/>
          <w:sz w:val="24"/>
          <w:szCs w:val="24"/>
          <w:lang w:val="en-US" w:eastAsia="zh-CN" w:bidi="ar-SA"/>
        </w:rPr>
        <w:t>充分挖掘利用我区旅游资源，开展国家AAAA级旅游景区创建工作，争创“全国爱国主义教育基地和青少年研学旅游基地”。深入挖掘“草原英雄小姐妹”、“草原晨曲”、“蒙古马”等红色文化内涵，精心打造</w:t>
      </w:r>
      <w:r>
        <w:rPr>
          <w:rFonts w:hint="eastAsia" w:ascii="仿宋" w:hAnsi="仿宋" w:eastAsia="仿宋" w:cs="仿宋"/>
          <w:snapToGrid w:val="0"/>
          <w:color w:val="auto"/>
          <w:spacing w:val="0"/>
          <w:kern w:val="0"/>
          <w:sz w:val="24"/>
          <w:szCs w:val="24"/>
          <w:highlight w:val="none"/>
          <w:lang w:val="en-US" w:eastAsia="zh-CN" w:bidi="ar-SA"/>
        </w:rPr>
        <w:t>以草原英雄小姐妹事迹展馆为核心的红色旅游。</w:t>
      </w:r>
      <w:r>
        <w:rPr>
          <w:rFonts w:hint="eastAsia" w:ascii="仿宋" w:hAnsi="仿宋" w:eastAsia="仿宋" w:cs="仿宋"/>
          <w:snapToGrid w:val="0"/>
          <w:color w:val="auto"/>
          <w:spacing w:val="0"/>
          <w:kern w:val="0"/>
          <w:sz w:val="24"/>
          <w:szCs w:val="24"/>
          <w:lang w:val="en-US" w:eastAsia="zh-CN" w:bidi="ar-SA"/>
        </w:rPr>
        <w:t>加强对具有保护价值、观赏价值的矿山遗迹进行保护，</w:t>
      </w:r>
      <w:r>
        <w:rPr>
          <w:rFonts w:hint="eastAsia" w:ascii="仿宋" w:hAnsi="仿宋" w:eastAsia="仿宋" w:cs="仿宋"/>
          <w:snapToGrid w:val="0"/>
          <w:color w:val="auto"/>
          <w:spacing w:val="0"/>
          <w:kern w:val="0"/>
          <w:sz w:val="24"/>
          <w:szCs w:val="24"/>
          <w:highlight w:val="none"/>
          <w:lang w:val="en-US" w:eastAsia="zh-CN" w:bidi="ar-SA"/>
        </w:rPr>
        <w:t>以白云铁矿为依托，</w:t>
      </w:r>
      <w:r>
        <w:rPr>
          <w:rFonts w:hint="eastAsia" w:ascii="仿宋" w:hAnsi="仿宋" w:eastAsia="仿宋" w:cs="仿宋"/>
          <w:snapToGrid w:val="0"/>
          <w:color w:val="auto"/>
          <w:spacing w:val="0"/>
          <w:kern w:val="0"/>
          <w:sz w:val="24"/>
          <w:szCs w:val="24"/>
          <w:lang w:val="en-US" w:eastAsia="zh-CN" w:bidi="ar-SA"/>
        </w:rPr>
        <w:t>以矿史展览馆、稀土展览馆、矿山公园为补充，打造工业旅游。建设矿山博物馆，充分利用现代科学技术，将矿山地质结构、矿石标本、机械设备以及矿产资源的开发利用进行展示，充分展现白云鄂博60多年的发展变化。在工矿采掘现场打造现代工业旅游景区，普及地质、稀土等科学知识。做优做强“包头白云鄂博奇石文化旅游节”品牌，发挥品牌引领作用，不断丰富活动内容、提升活动档次，将草原马拉松、草原自行车、露营音乐节、消夏文化节、冰雪节、赛马节、摩旅节等文体旅游赛事活动做为奇石文化旅游的系列活动，持续扩大知名度和影响力。加强旅游基础设施建设，打造配套设施完善、旅游线路顺畅、体验内容丰富的现代旅游区，力争到“十四五”期末把文化旅游产业培育成为我区重要支柱产业。</w:t>
      </w:r>
    </w:p>
    <w:p w14:paraId="568D5474">
      <w:pPr>
        <w:pStyle w:val="26"/>
        <w:pageBreakBefore w:val="0"/>
        <w:kinsoku/>
        <w:wordWrap/>
        <w:overflowPunct/>
        <w:topLinePunct w:val="0"/>
        <w:autoSpaceDE/>
        <w:autoSpaceDN/>
        <w:bidi w:val="0"/>
        <w:spacing w:line="520" w:lineRule="exact"/>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val="0"/>
          <w:bCs w:val="0"/>
          <w:snapToGrid w:val="0"/>
          <w:color w:val="auto"/>
          <w:spacing w:val="0"/>
          <w:kern w:val="0"/>
          <w:sz w:val="24"/>
          <w:szCs w:val="24"/>
          <w:lang w:val="en-US" w:eastAsia="zh-CN" w:bidi="ar-SA"/>
        </w:rPr>
        <w:t>加快农旅融合发展。</w:t>
      </w:r>
      <w:r>
        <w:rPr>
          <w:rFonts w:hint="eastAsia" w:ascii="仿宋" w:hAnsi="仿宋" w:eastAsia="仿宋" w:cs="仿宋"/>
          <w:snapToGrid w:val="0"/>
          <w:color w:val="auto"/>
          <w:spacing w:val="0"/>
          <w:kern w:val="0"/>
          <w:sz w:val="24"/>
          <w:szCs w:val="24"/>
          <w:lang w:val="en-US" w:eastAsia="zh-CN" w:bidi="ar-SA"/>
        </w:rPr>
        <w:t>以发展设施农业为主，延伸发展现代都市农业、休闲观赏农业。大力发展精品蔬菜基地，增加蔬菜水果品种，扩大种植规模，满足白云矿区人民周末休闲旅游的需求；重点发展游憩体验农业和生态观光农业，以及以都市种植业为底蕴的休闲观光旅游业。</w:t>
      </w:r>
    </w:p>
    <w:p w14:paraId="222A0DF9">
      <w:pPr>
        <w:pStyle w:val="26"/>
        <w:pageBreakBefore w:val="0"/>
        <w:kinsoku/>
        <w:wordWrap/>
        <w:overflowPunct/>
        <w:topLinePunct w:val="0"/>
        <w:autoSpaceDE/>
        <w:autoSpaceDN/>
        <w:bidi w:val="0"/>
        <w:spacing w:line="520" w:lineRule="exact"/>
        <w:textAlignment w:val="auto"/>
        <w:rPr>
          <w:rFonts w:hint="eastAsia" w:ascii="仿宋" w:hAnsi="仿宋" w:eastAsia="仿宋" w:cs="仿宋"/>
          <w:snapToGrid w:val="0"/>
          <w:color w:val="auto"/>
          <w:spacing w:val="0"/>
          <w:kern w:val="0"/>
          <w:sz w:val="24"/>
          <w:szCs w:val="24"/>
          <w:lang w:val="en-US" w:eastAsia="zh-CN" w:bidi="ar-SA"/>
        </w:rPr>
      </w:pPr>
    </w:p>
    <w:tbl>
      <w:tblPr>
        <w:tblStyle w:val="13"/>
        <w:tblW w:w="5581"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1"/>
      </w:tblGrid>
      <w:tr w14:paraId="2024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581" w:type="dxa"/>
            <w:tcBorders>
              <w:top w:val="single" w:color="auto" w:sz="4" w:space="0"/>
              <w:left w:val="single" w:color="auto" w:sz="4" w:space="0"/>
              <w:bottom w:val="single" w:color="auto" w:sz="4" w:space="0"/>
              <w:right w:val="single" w:color="auto" w:sz="4" w:space="0"/>
            </w:tcBorders>
            <w:noWrap/>
            <w:vAlign w:val="top"/>
          </w:tcPr>
          <w:p w14:paraId="2BBC9D2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bookmarkStart w:id="237" w:name="_Toc21232"/>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13 推进文化旅游融合发展</w:t>
            </w:r>
          </w:p>
          <w:p w14:paraId="10425AC3">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白云鄂博矿区全民冰雪运动中心项目：</w:t>
            </w:r>
            <w:r>
              <w:rPr>
                <w:rFonts w:hint="eastAsia" w:ascii="仿宋" w:hAnsi="仿宋" w:eastAsia="仿宋" w:cs="仿宋"/>
                <w:b w:val="0"/>
                <w:bCs w:val="0"/>
                <w:sz w:val="24"/>
                <w:szCs w:val="24"/>
                <w:highlight w:val="none"/>
                <w:lang w:val="en-US" w:eastAsia="zh-CN"/>
              </w:rPr>
              <w:t>新建标准化冰雪运动场及相应的附属工程。打造集冰雪运动、教学、训练、娱乐、旅游为一体的综合性场所；</w:t>
            </w:r>
          </w:p>
          <w:p w14:paraId="5E6238E1">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户外草原文化露营基地项目：</w:t>
            </w:r>
            <w:r>
              <w:rPr>
                <w:rFonts w:hint="eastAsia" w:ascii="仿宋" w:hAnsi="仿宋" w:eastAsia="仿宋" w:cs="仿宋"/>
                <w:b w:val="0"/>
                <w:bCs w:val="0"/>
                <w:sz w:val="24"/>
                <w:szCs w:val="24"/>
                <w:highlight w:val="none"/>
                <w:lang w:val="en-US" w:eastAsia="zh-CN"/>
              </w:rPr>
              <w:t>建设观赏石主题公园；风电太阳能主题公园；自行车、越野车、摩托车越野体验赛道及配套实施；</w:t>
            </w:r>
          </w:p>
          <w:p w14:paraId="28B711DD">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白云鄂博文化旅游生态项目：</w:t>
            </w:r>
            <w:r>
              <w:rPr>
                <w:rFonts w:hint="eastAsia" w:ascii="仿宋" w:hAnsi="仿宋" w:eastAsia="仿宋" w:cs="仿宋"/>
                <w:b w:val="0"/>
                <w:bCs w:val="0"/>
                <w:sz w:val="24"/>
                <w:szCs w:val="24"/>
                <w:highlight w:val="none"/>
                <w:lang w:val="en-US" w:eastAsia="zh-CN"/>
              </w:rPr>
              <w:t>项目集红色旅游、研学游、度假养生、亲子游、房车、户外露营、军事拓展、蒙古族风情、网红民宿、餐饮、游乐为一体的草原旅游基地；</w:t>
            </w:r>
          </w:p>
          <w:p w14:paraId="48A52D67">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中国正北方白云鄂博草原游项目：</w:t>
            </w:r>
            <w:r>
              <w:rPr>
                <w:rFonts w:hint="eastAsia" w:ascii="仿宋" w:hAnsi="仿宋" w:eastAsia="仿宋" w:cs="仿宋"/>
                <w:b w:val="0"/>
                <w:bCs w:val="0"/>
                <w:sz w:val="24"/>
                <w:szCs w:val="24"/>
                <w:highlight w:val="none"/>
                <w:lang w:val="en-US" w:eastAsia="zh-CN"/>
              </w:rPr>
              <w:t>以周边的草原景观、山体景观、工业矿坑景观、口岸景观以及众多的人文景观为依托，以点串线，织线成面，打造白云区全域，线上线下同时服务的旅游新格局；</w:t>
            </w:r>
          </w:p>
          <w:p w14:paraId="3B6535C7">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白云矿区旅游度假及体育运动比赛接待中心项目：</w:t>
            </w:r>
            <w:r>
              <w:rPr>
                <w:rFonts w:hint="eastAsia" w:ascii="仿宋" w:hAnsi="仿宋" w:eastAsia="仿宋" w:cs="仿宋"/>
                <w:b w:val="0"/>
                <w:bCs w:val="0"/>
                <w:sz w:val="24"/>
                <w:szCs w:val="24"/>
                <w:highlight w:val="none"/>
                <w:lang w:val="en-US" w:eastAsia="zh-CN"/>
              </w:rPr>
              <w:t>建设旅游休闲度假场所及体育运接待中心。</w:t>
            </w:r>
          </w:p>
        </w:tc>
      </w:tr>
    </w:tbl>
    <w:p w14:paraId="0841BFC9">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238" w:name="_Toc7197"/>
      <w:bookmarkStart w:id="239" w:name="_Toc9311"/>
      <w:r>
        <w:rPr>
          <w:rFonts w:hint="eastAsia" w:ascii="Cambria" w:hAnsi="Cambria" w:eastAsia="方正黑体简体" w:cs="Times New Roman"/>
          <w:b w:val="0"/>
          <w:bCs/>
          <w:kern w:val="0"/>
          <w:sz w:val="28"/>
          <w:szCs w:val="32"/>
          <w:lang w:val="en-US" w:eastAsia="zh-CN" w:bidi="ar-SA"/>
        </w:rPr>
        <w:t>第十章 坚持生态优先 打造祖国北方生态安全屏障</w:t>
      </w:r>
      <w:bookmarkEnd w:id="237"/>
      <w:bookmarkEnd w:id="238"/>
      <w:bookmarkEnd w:id="239"/>
    </w:p>
    <w:p w14:paraId="213876BF">
      <w:pPr>
        <w:pageBreakBefore w:val="0"/>
        <w:widowControl w:val="0"/>
        <w:numPr>
          <w:ilvl w:val="0"/>
          <w:numId w:val="0"/>
        </w:numPr>
        <w:kinsoku/>
        <w:wordWrap/>
        <w:overflowPunct/>
        <w:topLinePunct w:val="0"/>
        <w:autoSpaceDE/>
        <w:autoSpaceDN/>
        <w:bidi w:val="0"/>
        <w:spacing w:line="520" w:lineRule="exact"/>
        <w:jc w:val="both"/>
        <w:textAlignment w:val="auto"/>
        <w:rPr>
          <w:rFonts w:hint="eastAsia" w:ascii="仿宋" w:hAnsi="仿宋" w:eastAsia="仿宋" w:cs="仿宋"/>
          <w:sz w:val="24"/>
          <w:szCs w:val="24"/>
          <w:lang w:val="en-US"/>
        </w:rPr>
      </w:pPr>
    </w:p>
    <w:p w14:paraId="3FB9D73F">
      <w:pPr>
        <w:pageBreakBefore w:val="0"/>
        <w:kinsoku/>
        <w:wordWrap/>
        <w:overflowPunct/>
        <w:topLinePunct w:val="0"/>
        <w:autoSpaceDE/>
        <w:autoSpaceDN/>
        <w:bidi w:val="0"/>
        <w:spacing w:line="520" w:lineRule="exact"/>
        <w:ind w:firstLine="601"/>
        <w:jc w:val="both"/>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坚持“绿水青山就是金山银山”的发展理念，切实贯彻习近平总书记在内蒙古代表团的重要讲话精神，把碳达峰、碳中和纳入生态文明建设中，强化源头治理，推动资源高效利用，加大重点行业、重要领域绿色化改造力度，发展清洁生产，加快绿色低碳发展。统筹沙草系统治理，加大生态保护力度，提升生态系统稳定性和可持续性。全面推进绿色生产方式和生活方式，全面提高资源利用效率，建设人与自然和谐共生的现代化新格局。</w:t>
      </w:r>
      <w:bookmarkStart w:id="240" w:name="_Toc16103"/>
    </w:p>
    <w:p w14:paraId="1482BD92">
      <w:pPr>
        <w:pageBreakBefore w:val="0"/>
        <w:kinsoku/>
        <w:wordWrap/>
        <w:overflowPunct/>
        <w:topLinePunct w:val="0"/>
        <w:autoSpaceDE/>
        <w:autoSpaceDN/>
        <w:bidi w:val="0"/>
        <w:spacing w:line="520" w:lineRule="exact"/>
        <w:ind w:firstLine="601"/>
        <w:jc w:val="center"/>
        <w:textAlignment w:val="auto"/>
        <w:outlineLvl w:val="1"/>
        <w:rPr>
          <w:rFonts w:hint="eastAsia" w:ascii="宋体" w:hAnsi="宋体" w:eastAsia="宋体" w:cs="宋体"/>
          <w:color w:val="auto"/>
          <w:sz w:val="28"/>
          <w:szCs w:val="28"/>
        </w:rPr>
      </w:pPr>
      <w:bookmarkStart w:id="241" w:name="_Toc11530"/>
      <w:bookmarkStart w:id="242" w:name="_Toc6910"/>
      <w:bookmarkStart w:id="243" w:name="_Toc3982"/>
      <w:r>
        <w:rPr>
          <w:rStyle w:val="34"/>
          <w:rFonts w:hint="eastAsia" w:ascii="宋体" w:hAnsi="宋体" w:eastAsia="宋体" w:cs="宋体"/>
          <w:color w:val="auto"/>
          <w:sz w:val="28"/>
          <w:szCs w:val="28"/>
        </w:rPr>
        <w:t>第一节 加强生态保护和修复</w:t>
      </w:r>
      <w:bookmarkEnd w:id="240"/>
      <w:bookmarkEnd w:id="241"/>
      <w:bookmarkEnd w:id="242"/>
      <w:bookmarkEnd w:id="243"/>
    </w:p>
    <w:p w14:paraId="5D335602">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bookmarkStart w:id="244" w:name="_Toc30227"/>
      <w:r>
        <w:rPr>
          <w:rFonts w:hint="eastAsia" w:ascii="仿宋" w:hAnsi="仿宋" w:eastAsia="仿宋" w:cs="仿宋"/>
          <w:b w:val="0"/>
          <w:bCs w:val="0"/>
          <w:snapToGrid w:val="0"/>
          <w:color w:val="auto"/>
          <w:spacing w:val="0"/>
          <w:kern w:val="0"/>
          <w:sz w:val="24"/>
          <w:szCs w:val="24"/>
          <w:lang w:val="en-US" w:eastAsia="zh-CN" w:bidi="ar-SA"/>
        </w:rPr>
        <w:t>加强矿山生态保护和修复。</w:t>
      </w:r>
      <w:r>
        <w:rPr>
          <w:rFonts w:hint="eastAsia" w:ascii="仿宋" w:hAnsi="仿宋" w:eastAsia="仿宋" w:cs="仿宋"/>
          <w:snapToGrid w:val="0"/>
          <w:color w:val="auto"/>
          <w:spacing w:val="0"/>
          <w:kern w:val="0"/>
          <w:sz w:val="24"/>
          <w:szCs w:val="24"/>
          <w:lang w:val="en-US" w:eastAsia="zh-CN" w:bidi="ar-SA"/>
        </w:rPr>
        <w:t>以建设国家级绿色矿山为引领，坚定不移地走绿色富区发展道路，实现矿产资源开发与环境保护协调发展。坚持“谁开采、谁恢复”的原则，重点实施白云铁矿矿山地质环境治理（三期）工程、白云铁矿固边工程等地质环境恢复治理类项目，加快推进中节能国家级危废处置利用中心项目，积极探索工业固废处置利用产业化发展路径。加强生态修复建设，提高矿区植被覆盖率，建设形成高水平环境治理保护与高质量发展相得益彰、融合发展新格局。到2025年，白云矿区地质恢复治理取得显著成效，基本建成国家级绿色矿山示范基地。</w:t>
      </w:r>
    </w:p>
    <w:p w14:paraId="3E90B900">
      <w:pPr>
        <w:pStyle w:val="24"/>
        <w:pageBreakBefore w:val="0"/>
        <w:kinsoku/>
        <w:wordWrap/>
        <w:overflowPunct/>
        <w:topLinePunct w:val="0"/>
        <w:autoSpaceDE/>
        <w:autoSpaceDN/>
        <w:bidi w:val="0"/>
        <w:spacing w:line="520" w:lineRule="exact"/>
        <w:textAlignment w:val="auto"/>
        <w:rPr>
          <w:rFonts w:hint="eastAsia" w:ascii="仿宋" w:hAnsi="仿宋" w:eastAsia="仿宋" w:cs="仿宋"/>
          <w:color w:val="auto"/>
          <w:sz w:val="24"/>
          <w:szCs w:val="24"/>
        </w:rPr>
      </w:pPr>
      <w:r>
        <w:rPr>
          <w:rFonts w:hint="eastAsia" w:ascii="仿宋" w:hAnsi="仿宋" w:eastAsia="仿宋" w:cs="仿宋"/>
          <w:b w:val="0"/>
          <w:bCs/>
          <w:color w:val="auto"/>
          <w:sz w:val="24"/>
          <w:szCs w:val="24"/>
          <w:lang w:eastAsia="zh-CN"/>
        </w:rPr>
        <w:t>加强草原生态系统保护和修复。</w:t>
      </w:r>
      <w:r>
        <w:rPr>
          <w:rFonts w:hint="eastAsia" w:ascii="仿宋" w:hAnsi="仿宋" w:eastAsia="仿宋" w:cs="仿宋"/>
          <w:color w:val="auto"/>
          <w:sz w:val="24"/>
          <w:szCs w:val="24"/>
        </w:rPr>
        <w:t>严格执行基本草原保护、禁牧休牧和草畜平衡制度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依托草原生态保护修复工程，对不同程度退化、沙化的草原进行分类治理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重点对退化放牧场、退化打草场、严重沙化草地</w:t>
      </w:r>
      <w:r>
        <w:rPr>
          <w:rFonts w:hint="eastAsia" w:ascii="仿宋" w:hAnsi="仿宋" w:eastAsia="仿宋" w:cs="仿宋"/>
          <w:color w:val="auto"/>
          <w:sz w:val="24"/>
          <w:szCs w:val="24"/>
          <w:lang w:eastAsia="zh-CN"/>
        </w:rPr>
        <w:t>实施</w:t>
      </w:r>
      <w:r>
        <w:rPr>
          <w:rFonts w:hint="eastAsia" w:ascii="仿宋" w:hAnsi="仿宋" w:eastAsia="仿宋" w:cs="仿宋"/>
          <w:color w:val="auto"/>
          <w:sz w:val="24"/>
          <w:szCs w:val="24"/>
        </w:rPr>
        <w:t>飞播种草、草地改良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补播、施肥、</w:t>
      </w:r>
      <w:r>
        <w:rPr>
          <w:rFonts w:hint="eastAsia" w:ascii="仿宋" w:hAnsi="仿宋" w:eastAsia="仿宋" w:cs="仿宋"/>
          <w:color w:val="auto"/>
          <w:sz w:val="24"/>
          <w:szCs w:val="24"/>
          <w:lang w:eastAsia="zh-CN"/>
        </w:rPr>
        <w:t>设置</w:t>
      </w:r>
      <w:r>
        <w:rPr>
          <w:rFonts w:hint="eastAsia" w:ascii="仿宋" w:hAnsi="仿宋" w:eastAsia="仿宋" w:cs="仿宋"/>
          <w:color w:val="auto"/>
          <w:sz w:val="24"/>
          <w:szCs w:val="24"/>
        </w:rPr>
        <w:t>围栏等</w:t>
      </w:r>
      <w:r>
        <w:rPr>
          <w:rFonts w:hint="eastAsia" w:ascii="仿宋" w:hAnsi="仿宋" w:eastAsia="仿宋" w:cs="仿宋"/>
          <w:color w:val="auto"/>
          <w:sz w:val="24"/>
          <w:szCs w:val="24"/>
          <w:lang w:eastAsia="zh-CN"/>
        </w:rPr>
        <w:t>工程措施，</w:t>
      </w:r>
      <w:r>
        <w:rPr>
          <w:rFonts w:hint="eastAsia" w:ascii="仿宋" w:hAnsi="仿宋" w:eastAsia="仿宋" w:cs="仿宋"/>
          <w:color w:val="auto"/>
          <w:sz w:val="24"/>
          <w:szCs w:val="24"/>
        </w:rPr>
        <w:t>促进草原生态修复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加强草原生物灾害监测预警和防控能力，提高生物防治比例和预警准确率，提升防治成效、巩固草原保护建设成果。</w:t>
      </w:r>
    </w:p>
    <w:p w14:paraId="0420805F">
      <w:pPr>
        <w:pStyle w:val="24"/>
        <w:pageBreakBefore w:val="0"/>
        <w:kinsoku/>
        <w:wordWrap/>
        <w:overflowPunct/>
        <w:topLinePunct w:val="0"/>
        <w:autoSpaceDE/>
        <w:autoSpaceDN/>
        <w:bidi w:val="0"/>
        <w:spacing w:line="52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加强防沙防风建设。加快实施“北方防风带”生态治理与恢复工程，重点开展草原生态系统综合整治工程、防护林体系建设工程、退化草原修复工程、风沙源治理工程、矿山生态修复工程、地下水超采综合治理工程等六大工程建设。坚持“以水定绿、乔灌草相结合”原则，加强沙化土地封禁保护，加快锁边防风固沙体系、防风防沙生态林带建设，强化禁垦（樵、牧、采）、封沙育林育草、网格固沙等工程建设。进一步增加林草植被盖度，增强防风固沙、水土保持、生物多样性等功能，提高自然生态系统质量和稳定性，筑牢我国北方生态安全屏障。</w:t>
      </w:r>
    </w:p>
    <w:p w14:paraId="6198FC5A">
      <w:pPr>
        <w:pStyle w:val="24"/>
        <w:pageBreakBefore w:val="0"/>
        <w:kinsoku/>
        <w:wordWrap/>
        <w:overflowPunct/>
        <w:topLinePunct w:val="0"/>
        <w:autoSpaceDE/>
        <w:autoSpaceDN/>
        <w:bidi w:val="0"/>
        <w:spacing w:line="52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p>
    <w:tbl>
      <w:tblPr>
        <w:tblStyle w:val="13"/>
        <w:tblW w:w="568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tblGrid>
      <w:tr w14:paraId="0385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685" w:type="dxa"/>
            <w:tcBorders>
              <w:top w:val="single" w:color="auto" w:sz="4" w:space="0"/>
              <w:left w:val="single" w:color="auto" w:sz="4" w:space="0"/>
              <w:bottom w:val="single" w:color="auto" w:sz="4" w:space="0"/>
              <w:right w:val="single" w:color="auto" w:sz="4" w:space="0"/>
            </w:tcBorders>
            <w:noWrap/>
            <w:vAlign w:val="top"/>
          </w:tcPr>
          <w:p w14:paraId="1E094FF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14  加强生态保护和修复</w:t>
            </w:r>
          </w:p>
          <w:p w14:paraId="3AF7AAD4">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白云铁矿深部矿勘探项目：</w:t>
            </w:r>
            <w:r>
              <w:rPr>
                <w:rFonts w:hint="eastAsia" w:ascii="仿宋" w:hAnsi="仿宋" w:eastAsia="仿宋" w:cs="仿宋"/>
                <w:b w:val="0"/>
                <w:bCs w:val="0"/>
                <w:sz w:val="24"/>
                <w:szCs w:val="24"/>
                <w:highlight w:val="none"/>
                <w:lang w:val="en-US" w:eastAsia="zh-CN"/>
              </w:rPr>
              <w:t>目前白云铁矿资源已快开采至设计批复标高，需进行重新勘探资源处量并进行重新批复；</w:t>
            </w:r>
          </w:p>
          <w:p w14:paraId="014D5778">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国家级危废处理中心项目：</w:t>
            </w:r>
            <w:r>
              <w:rPr>
                <w:rFonts w:hint="eastAsia" w:ascii="仿宋" w:hAnsi="仿宋" w:eastAsia="仿宋" w:cs="仿宋"/>
                <w:b w:val="0"/>
                <w:bCs w:val="0"/>
                <w:sz w:val="24"/>
                <w:szCs w:val="24"/>
                <w:highlight w:val="none"/>
                <w:lang w:val="en-US" w:eastAsia="zh-CN"/>
              </w:rPr>
              <w:t>对固体废物、液体废物、危险废物、医疗废物、柔性、刚性填埋场等进行统筹处理处置，发展综合环保产业，实现土地资源的最有效利用与环保管理的更有效监控；</w:t>
            </w:r>
          </w:p>
          <w:p w14:paraId="7E6094F4">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矿山尾矿库综合治理工程：</w:t>
            </w:r>
            <w:r>
              <w:rPr>
                <w:rFonts w:hint="eastAsia" w:ascii="仿宋" w:hAnsi="仿宋" w:eastAsia="仿宋" w:cs="仿宋"/>
                <w:b w:val="0"/>
                <w:bCs w:val="0"/>
                <w:sz w:val="24"/>
                <w:szCs w:val="24"/>
                <w:highlight w:val="none"/>
                <w:lang w:val="en-US" w:eastAsia="zh-CN"/>
              </w:rPr>
              <w:t>依托包头市打造“无废城市”试点地区，将现有尾矿库资源进行最大化综合利用，选定最终没有可利用价值废渣进行处理。</w:t>
            </w:r>
          </w:p>
        </w:tc>
      </w:tr>
    </w:tbl>
    <w:p w14:paraId="6125E822">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45" w:name="_Toc20236"/>
      <w:bookmarkStart w:id="246" w:name="_Toc18969"/>
      <w:bookmarkStart w:id="247" w:name="_Toc17569"/>
      <w:r>
        <w:rPr>
          <w:rFonts w:hint="eastAsia" w:ascii="宋体" w:hAnsi="宋体" w:eastAsia="宋体" w:cs="宋体"/>
          <w:sz w:val="28"/>
          <w:szCs w:val="28"/>
          <w:lang w:val="en-US" w:eastAsia="zh-CN"/>
        </w:rPr>
        <w:t>第二节 改善提升环境质量</w:t>
      </w:r>
      <w:bookmarkEnd w:id="244"/>
      <w:bookmarkEnd w:id="245"/>
      <w:bookmarkEnd w:id="246"/>
      <w:bookmarkEnd w:id="247"/>
    </w:p>
    <w:p w14:paraId="67E275DF">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全面落实生态保护红线、环境质量底线、资源利用上线，建立生态环境“三线一单”制度。建立生态分区管控体系，明确产业目录，公布负面清单，实行最严格的节能双控制度。深化大气污染防治，加强对白云铁矿、宝山、沃尔特等重点企业在线实时监控；加强对燃煤烟气、工业废气、汽车尾气、城市扬尘、油烟废气的治理力度，强化对尾矿库的生态恢复治理，减少生态破坏。鼓励居民使用清洁能源，减少城市生活型大气污染，增加集中供热面积，实现清洁能源供暖。到2025年，白云矿区所有燃煤发电机组全部完成超低排放改造，空气质量明显好转，污染天气大幅减少。</w:t>
      </w:r>
    </w:p>
    <w:p w14:paraId="0E18F380">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节水技术改造推广和循环用水网络建设，扩大工业再生水使用比例。全面提高工业废水处理能力，实现工业污水处理全覆盖，保障工业污水处理系统稳定运行。加强水源地保护，提高城区供水规模和等级，确保居民饮水安全。到2025年，中水回收能力达到100%、使用率达到95%。在城区范围内无黑臭水体。</w:t>
      </w:r>
    </w:p>
    <w:p w14:paraId="6173A9C9">
      <w:pPr>
        <w:rPr>
          <w:rFonts w:hint="eastAsia" w:ascii="仿宋" w:hAnsi="仿宋" w:eastAsia="仿宋" w:cs="仿宋"/>
          <w:snapToGrid w:val="0"/>
          <w:color w:val="auto"/>
          <w:spacing w:val="0"/>
          <w:kern w:val="0"/>
          <w:sz w:val="24"/>
          <w:szCs w:val="24"/>
          <w:lang w:val="en-US" w:eastAsia="zh-CN" w:bidi="ar-SA"/>
        </w:rPr>
      </w:pPr>
    </w:p>
    <w:tbl>
      <w:tblPr>
        <w:tblStyle w:val="13"/>
        <w:tblW w:w="559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5"/>
      </w:tblGrid>
      <w:tr w14:paraId="3D4B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595" w:type="dxa"/>
            <w:tcBorders>
              <w:top w:val="single" w:color="auto" w:sz="4" w:space="0"/>
              <w:left w:val="single" w:color="auto" w:sz="4" w:space="0"/>
              <w:bottom w:val="single" w:color="auto" w:sz="4" w:space="0"/>
              <w:right w:val="single" w:color="auto" w:sz="4" w:space="0"/>
            </w:tcBorders>
            <w:noWrap/>
            <w:vAlign w:val="top"/>
          </w:tcPr>
          <w:p w14:paraId="5E8BCD5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15  改善提升环境质量</w:t>
            </w:r>
          </w:p>
          <w:p w14:paraId="612E8EC0">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工业污水处理厂建设项目：</w:t>
            </w:r>
            <w:r>
              <w:rPr>
                <w:rFonts w:hint="eastAsia" w:ascii="仿宋" w:hAnsi="仿宋" w:eastAsia="仿宋" w:cs="仿宋"/>
                <w:b w:val="0"/>
                <w:bCs w:val="0"/>
                <w:sz w:val="24"/>
                <w:szCs w:val="24"/>
                <w:highlight w:val="none"/>
                <w:lang w:val="en-US" w:eastAsia="zh-CN"/>
              </w:rPr>
              <w:t>对辖区内工矿企业产生工业废水进行无害化处理，建设工业污水处理厂；</w:t>
            </w:r>
          </w:p>
          <w:p w14:paraId="200928A8">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工业企业废旧采坑恢复治理项目：</w:t>
            </w:r>
            <w:r>
              <w:rPr>
                <w:rFonts w:hint="eastAsia" w:ascii="仿宋" w:hAnsi="仿宋" w:eastAsia="仿宋" w:cs="仿宋"/>
                <w:b w:val="0"/>
                <w:bCs w:val="0"/>
                <w:sz w:val="24"/>
                <w:szCs w:val="24"/>
                <w:highlight w:val="none"/>
                <w:lang w:val="en-US" w:eastAsia="zh-CN"/>
              </w:rPr>
              <w:t>将原有废旧工矿采选企业，生产过程中遗留下来的采坑进行恢复治理。</w:t>
            </w:r>
          </w:p>
        </w:tc>
      </w:tr>
    </w:tbl>
    <w:p w14:paraId="4F532F14">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248" w:name="_Toc17639"/>
      <w:bookmarkStart w:id="249" w:name="_Toc8609"/>
      <w:bookmarkStart w:id="250" w:name="_Toc25473"/>
      <w:bookmarkStart w:id="251" w:name="_Toc19462"/>
      <w:bookmarkStart w:id="252" w:name="_Toc12302"/>
      <w:r>
        <w:rPr>
          <w:rFonts w:hint="eastAsia" w:ascii="宋体" w:hAnsi="宋体" w:eastAsia="宋体" w:cs="宋体"/>
          <w:sz w:val="28"/>
          <w:szCs w:val="28"/>
        </w:rPr>
        <w:t xml:space="preserve">第三节 </w:t>
      </w:r>
      <w:r>
        <w:rPr>
          <w:rFonts w:hint="eastAsia" w:ascii="宋体" w:hAnsi="宋体" w:eastAsia="宋体" w:cs="宋体"/>
          <w:sz w:val="28"/>
          <w:szCs w:val="28"/>
          <w:lang w:val="en-US" w:eastAsia="zh-CN"/>
        </w:rPr>
        <w:t>推动</w:t>
      </w:r>
      <w:r>
        <w:rPr>
          <w:rFonts w:hint="eastAsia" w:ascii="宋体" w:hAnsi="宋体" w:eastAsia="宋体" w:cs="宋体"/>
          <w:sz w:val="28"/>
          <w:szCs w:val="28"/>
        </w:rPr>
        <w:t>绿色循环低碳发展</w:t>
      </w:r>
      <w:bookmarkEnd w:id="248"/>
      <w:bookmarkEnd w:id="249"/>
      <w:bookmarkEnd w:id="250"/>
      <w:bookmarkEnd w:id="251"/>
      <w:bookmarkEnd w:id="252"/>
    </w:p>
    <w:p w14:paraId="338CF3C1">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0"/>
          <w:kern w:val="0"/>
          <w:sz w:val="24"/>
          <w:szCs w:val="24"/>
          <w:lang w:val="en-US" w:eastAsia="zh-CN" w:bidi="ar-SA"/>
          <w14:textFill>
            <w14:solidFill>
              <w14:schemeClr w14:val="tx1"/>
            </w14:solidFill>
          </w14:textFill>
        </w:rPr>
        <w:t>坚持低碳环保发展理念，</w:t>
      </w:r>
      <w:r>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t>调整优化能源产业结构和消费结构，实施能源清洁化替代。</w:t>
      </w:r>
      <w:r>
        <w:rPr>
          <w:rFonts w:hint="eastAsia" w:ascii="仿宋" w:hAnsi="仿宋" w:eastAsia="仿宋" w:cs="仿宋"/>
          <w:snapToGrid w:val="0"/>
          <w:color w:val="auto"/>
          <w:spacing w:val="0"/>
          <w:kern w:val="0"/>
          <w:sz w:val="24"/>
          <w:szCs w:val="24"/>
          <w:lang w:val="en-US" w:eastAsia="zh-CN" w:bidi="ar-SA"/>
        </w:rPr>
        <w:t>落实能耗双控指标，</w:t>
      </w:r>
      <w:r>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t>制定“碳达峰、碳中和”行动方案，降低单位生产总值二氧化碳排放强度，确保“碳达峰、碳中和”目标如期完成。</w:t>
      </w:r>
      <w:r>
        <w:rPr>
          <w:rFonts w:hint="eastAsia" w:ascii="仿宋" w:hAnsi="仿宋" w:eastAsia="仿宋" w:cs="仿宋"/>
          <w:snapToGrid w:val="0"/>
          <w:color w:val="auto"/>
          <w:spacing w:val="0"/>
          <w:kern w:val="0"/>
          <w:sz w:val="24"/>
          <w:szCs w:val="24"/>
          <w:lang w:val="en-US" w:eastAsia="zh-CN" w:bidi="ar-SA"/>
        </w:rPr>
        <w:t>鼓励重点耗能行业实施综合能耗技改工程，加快建立循环生产体系，促进资源循环利用。依托矿产资源综合利用示范基地，建立完善再生资源回收体系，提高尾矿资源化利用水平。</w:t>
      </w:r>
      <w:r>
        <w:rPr>
          <w:rFonts w:hint="eastAsia" w:ascii="仿宋" w:hAnsi="仿宋" w:eastAsia="仿宋" w:cs="仿宋"/>
          <w:b w:val="0"/>
          <w:bCs w:val="0"/>
          <w:snapToGrid w:val="0"/>
          <w:color w:val="auto"/>
          <w:spacing w:val="0"/>
          <w:kern w:val="0"/>
          <w:sz w:val="24"/>
          <w:szCs w:val="24"/>
          <w:lang w:val="en-US" w:eastAsia="zh-CN" w:bidi="ar-SA"/>
        </w:rPr>
        <w:t>建立高效资源再利用体系，</w:t>
      </w:r>
      <w:r>
        <w:rPr>
          <w:rFonts w:hint="eastAsia" w:ascii="仿宋" w:hAnsi="仿宋" w:eastAsia="仿宋" w:cs="仿宋"/>
          <w:snapToGrid w:val="0"/>
          <w:color w:val="auto"/>
          <w:spacing w:val="0"/>
          <w:kern w:val="0"/>
          <w:sz w:val="24"/>
          <w:szCs w:val="24"/>
          <w:lang w:val="en-US" w:eastAsia="zh-CN" w:bidi="ar-SA"/>
        </w:rPr>
        <w:t>鼓励开展粉煤灰、炼渣及尾矿等综合再利用。加强重点单位用能、用水管理，严格实施差别电价、浮动水价制度，以水定需、量水而行，</w:t>
      </w:r>
      <w:r>
        <w:rPr>
          <w:rFonts w:hint="eastAsia" w:ascii="仿宋" w:hAnsi="仿宋" w:eastAsia="仿宋" w:cs="仿宋"/>
          <w:b w:val="0"/>
          <w:bCs w:val="0"/>
          <w:snapToGrid w:val="0"/>
          <w:color w:val="auto"/>
          <w:spacing w:val="0"/>
          <w:kern w:val="0"/>
          <w:sz w:val="24"/>
          <w:szCs w:val="24"/>
          <w:lang w:val="en-US" w:eastAsia="zh-CN" w:bidi="ar-SA"/>
        </w:rPr>
        <w:t>实</w:t>
      </w:r>
      <w:r>
        <w:rPr>
          <w:rFonts w:hint="eastAsia" w:ascii="仿宋" w:hAnsi="仿宋" w:eastAsia="仿宋" w:cs="仿宋"/>
          <w:snapToGrid w:val="0"/>
          <w:color w:val="auto"/>
          <w:spacing w:val="0"/>
          <w:kern w:val="0"/>
          <w:sz w:val="24"/>
          <w:szCs w:val="24"/>
          <w:lang w:val="en-US" w:eastAsia="zh-CN" w:bidi="ar-SA"/>
        </w:rPr>
        <w:t>现能耗、水耗总量、强度双控；加强在线监测系统建设，建立能源预算管理制度，用市场手段实现双控目标。按照“污染者使用者付费、保护者节约者受益”的原则，建立资源有偿使用机制，促进资源节约和生态环境保护。</w:t>
      </w:r>
      <w:r>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t>到2025年，白云矿区万元GDP能耗下降幅度达到自治区、包头市要求；万元GDP用水量降低4%；万元工业增加值用水量降低2%。</w:t>
      </w:r>
    </w:p>
    <w:p w14:paraId="0C582810">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253" w:name="_Toc1719"/>
      <w:bookmarkStart w:id="254" w:name="_Toc26978"/>
      <w:bookmarkStart w:id="255" w:name="_Toc22185"/>
      <w:bookmarkStart w:id="256" w:name="_Toc4175"/>
      <w:bookmarkStart w:id="257" w:name="_Toc10229"/>
      <w:r>
        <w:rPr>
          <w:rFonts w:hint="eastAsia" w:ascii="宋体" w:hAnsi="宋体" w:eastAsia="宋体" w:cs="宋体"/>
          <w:sz w:val="28"/>
          <w:szCs w:val="28"/>
        </w:rPr>
        <w:t xml:space="preserve">第四节 </w:t>
      </w:r>
      <w:r>
        <w:rPr>
          <w:rFonts w:hint="eastAsia" w:ascii="宋体" w:hAnsi="宋体" w:eastAsia="宋体" w:cs="宋体"/>
          <w:sz w:val="28"/>
          <w:szCs w:val="28"/>
          <w:lang w:val="en-US" w:eastAsia="zh-CN"/>
        </w:rPr>
        <w:t>倡导</w:t>
      </w:r>
      <w:r>
        <w:rPr>
          <w:rFonts w:hint="eastAsia" w:ascii="宋体" w:hAnsi="宋体" w:eastAsia="宋体" w:cs="宋体"/>
          <w:sz w:val="28"/>
          <w:szCs w:val="28"/>
        </w:rPr>
        <w:t>绿色生产生活</w:t>
      </w:r>
      <w:bookmarkEnd w:id="253"/>
      <w:bookmarkEnd w:id="254"/>
      <w:bookmarkEnd w:id="255"/>
      <w:bookmarkEnd w:id="256"/>
      <w:bookmarkEnd w:id="257"/>
    </w:p>
    <w:p w14:paraId="2CC13C17">
      <w:pPr>
        <w:pStyle w:val="26"/>
        <w:pageBreakBefore w:val="0"/>
        <w:kinsoku/>
        <w:wordWrap/>
        <w:overflowPunct/>
        <w:topLinePunct w:val="0"/>
        <w:autoSpaceDE/>
        <w:autoSpaceDN/>
        <w:bidi w:val="0"/>
        <w:spacing w:line="520" w:lineRule="exact"/>
        <w:ind w:left="0" w:leftChars="0"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积极推进绿色矿山建设，加速实施现有产业循环化改造工程，构建再生资源回收体系、废旧物资循环利用体系，加强矿产资源节约与综合利用，提高尾矿、低品位有用岩等再利用水平。加强城市生活垃圾分类回收，实现生产系统和生活系统的循环链接。</w:t>
      </w:r>
    </w:p>
    <w:p w14:paraId="27F431E0">
      <w:pPr>
        <w:pStyle w:val="26"/>
        <w:pageBreakBefore w:val="0"/>
        <w:kinsoku/>
        <w:wordWrap/>
        <w:overflowPunct/>
        <w:topLinePunct w:val="0"/>
        <w:autoSpaceDE/>
        <w:autoSpaceDN/>
        <w:bidi w:val="0"/>
        <w:spacing w:line="520" w:lineRule="exact"/>
        <w:ind w:left="0" w:leftChars="0"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快推进传统产业绿色升级改造，通过技术改造，大幅降低资源消耗强度，建立节能、清洁生产监督体系，明确产业准入负面清单，严格控制高能耗、高污染、高排放项目，实现清洁生产。全面提高产业准入标准，强化绿色设计理念，加快绿色产品研发，实现高起点绿色发展。</w:t>
      </w:r>
    </w:p>
    <w:p w14:paraId="1140646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大力推广绿色生活方式，培育全民环境意识，开展全民绿色实践活动，倡导绿色消费，推广环境标志产品、有机产品，限制过度包装商品，减少一次性用品使用。反对奢侈浪费和不合理消费。提倡绿色居住、光盘行动，节约用水用电。创建低碳节约型机关、绿色学校、绿色社区、绿色商场、绿色家庭，建设青山常在、绿水长流、空气常新的美丽白云。</w:t>
      </w:r>
    </w:p>
    <w:p w14:paraId="0A371B1C">
      <w:pPr>
        <w:pStyle w:val="2"/>
        <w:outlineLvl w:val="9"/>
        <w:rPr>
          <w:rFonts w:hint="eastAsia" w:ascii="仿宋" w:hAnsi="仿宋" w:eastAsia="仿宋" w:cs="仿宋"/>
          <w:snapToGrid w:val="0"/>
          <w:color w:val="auto"/>
          <w:spacing w:val="0"/>
          <w:kern w:val="0"/>
          <w:sz w:val="24"/>
          <w:szCs w:val="24"/>
          <w:lang w:val="en-US" w:eastAsia="zh-CN" w:bidi="ar-SA"/>
        </w:rPr>
      </w:pPr>
    </w:p>
    <w:bookmarkEnd w:id="104"/>
    <w:p w14:paraId="210C00FA">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bookmarkStart w:id="258" w:name="_Toc23694"/>
      <w:bookmarkStart w:id="259" w:name="_Toc20844"/>
      <w:bookmarkStart w:id="260" w:name="_Toc21217"/>
    </w:p>
    <w:p w14:paraId="3733310A">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36E29621">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0C7EAC83">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3FCC593C">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1493AF43">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10E7DD23">
      <w:pPr>
        <w:rPr>
          <w:rFonts w:hint="eastAsia"/>
          <w:lang w:val="en-US" w:eastAsia="zh-CN"/>
        </w:rPr>
      </w:pPr>
    </w:p>
    <w:p w14:paraId="3D54925E">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16F31AB5">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36A4CD17">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14B69FA0">
      <w:pPr>
        <w:rPr>
          <w:rFonts w:hint="eastAsia" w:ascii="Cambria" w:hAnsi="Cambria" w:eastAsia="方正黑体简体" w:cs="Times New Roman"/>
          <w:b w:val="0"/>
          <w:bCs/>
          <w:kern w:val="0"/>
          <w:sz w:val="28"/>
          <w:szCs w:val="32"/>
          <w:lang w:val="en-US" w:eastAsia="zh-CN" w:bidi="ar-SA"/>
        </w:rPr>
      </w:pPr>
    </w:p>
    <w:p w14:paraId="2C257222">
      <w:pPr>
        <w:pStyle w:val="2"/>
        <w:outlineLvl w:val="9"/>
        <w:rPr>
          <w:rFonts w:hint="eastAsia"/>
          <w:lang w:val="en-US" w:eastAsia="zh-CN"/>
        </w:rPr>
      </w:pPr>
    </w:p>
    <w:p w14:paraId="5B989FCD">
      <w:pPr>
        <w:pStyle w:val="3"/>
        <w:pageBreakBefore w:val="0"/>
        <w:numPr>
          <w:ilvl w:val="0"/>
          <w:numId w:val="0"/>
        </w:numPr>
        <w:kinsoku/>
        <w:wordWrap/>
        <w:overflowPunct/>
        <w:topLinePunct w:val="0"/>
        <w:autoSpaceDE/>
        <w:autoSpaceDN/>
        <w:bidi w:val="0"/>
        <w:spacing w:line="520" w:lineRule="exact"/>
        <w:ind w:leftChars="-95"/>
        <w:jc w:val="center"/>
        <w:textAlignment w:val="auto"/>
        <w:rPr>
          <w:rFonts w:hint="eastAsia" w:ascii="Cambria" w:hAnsi="Cambria" w:eastAsia="方正黑体简体" w:cs="Times New Roman"/>
          <w:b w:val="0"/>
          <w:bCs/>
          <w:kern w:val="0"/>
          <w:sz w:val="28"/>
          <w:szCs w:val="32"/>
          <w:lang w:val="en-US" w:eastAsia="zh-CN" w:bidi="ar-SA"/>
        </w:rPr>
      </w:pPr>
      <w:bookmarkStart w:id="261" w:name="_Toc540"/>
      <w:r>
        <w:rPr>
          <w:rFonts w:hint="eastAsia" w:ascii="Cambria" w:hAnsi="Cambria" w:eastAsia="方正黑体简体" w:cs="Times New Roman"/>
          <w:b w:val="0"/>
          <w:bCs/>
          <w:kern w:val="0"/>
          <w:sz w:val="28"/>
          <w:szCs w:val="32"/>
          <w:lang w:val="en-US" w:eastAsia="zh-CN" w:bidi="ar-SA"/>
        </w:rPr>
        <w:t xml:space="preserve">第十一章 </w:t>
      </w:r>
      <w:bookmarkEnd w:id="258"/>
      <w:r>
        <w:rPr>
          <w:rFonts w:hint="eastAsia" w:ascii="Cambria" w:hAnsi="Cambria" w:eastAsia="方正黑体简体" w:cs="Times New Roman"/>
          <w:b w:val="0"/>
          <w:bCs/>
          <w:kern w:val="0"/>
          <w:sz w:val="28"/>
          <w:szCs w:val="32"/>
          <w:lang w:val="en-US" w:eastAsia="zh-CN" w:bidi="ar-SA"/>
        </w:rPr>
        <w:t>提高完善社会保障</w:t>
      </w:r>
      <w:bookmarkEnd w:id="259"/>
      <w:bookmarkStart w:id="262" w:name="_Toc17212"/>
      <w:bookmarkStart w:id="263" w:name="_Toc22976"/>
      <w:r>
        <w:rPr>
          <w:rFonts w:hint="eastAsia" w:ascii="Cambria" w:hAnsi="Cambria" w:eastAsia="方正黑体简体" w:cs="Times New Roman"/>
          <w:b w:val="0"/>
          <w:bCs/>
          <w:kern w:val="0"/>
          <w:sz w:val="28"/>
          <w:szCs w:val="32"/>
          <w:lang w:val="en-US" w:eastAsia="zh-CN" w:bidi="ar-SA"/>
        </w:rPr>
        <w:t xml:space="preserve"> 增强人民群众幸福感</w:t>
      </w:r>
      <w:bookmarkEnd w:id="261"/>
      <w:bookmarkEnd w:id="262"/>
      <w:bookmarkEnd w:id="263"/>
    </w:p>
    <w:p w14:paraId="0D4A9A9F">
      <w:pPr>
        <w:pageBreakBefore w:val="0"/>
        <w:numPr>
          <w:ilvl w:val="0"/>
          <w:numId w:val="0"/>
        </w:numPr>
        <w:kinsoku/>
        <w:wordWrap/>
        <w:overflowPunct/>
        <w:topLinePunct w:val="0"/>
        <w:autoSpaceDE/>
        <w:autoSpaceDN/>
        <w:bidi w:val="0"/>
        <w:spacing w:line="520" w:lineRule="exact"/>
        <w:ind w:leftChars="-95"/>
        <w:textAlignment w:val="auto"/>
        <w:rPr>
          <w:rFonts w:hint="eastAsia" w:ascii="仿宋" w:hAnsi="仿宋" w:eastAsia="仿宋" w:cs="仿宋"/>
          <w:sz w:val="24"/>
          <w:szCs w:val="24"/>
          <w:lang w:val="en-US" w:eastAsia="zh-CN"/>
        </w:rPr>
      </w:pPr>
    </w:p>
    <w:p w14:paraId="763A020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坚持以人民为中心，聚焦人民群众的“急难愁盼”问题，着力解决教育、就业、社保、住房、医疗、养老等群众关心的实际问题，努力让人民群众获得更多、更足的幸福感、安全感。</w:t>
      </w:r>
    </w:p>
    <w:p w14:paraId="5983BA85">
      <w:pPr>
        <w:pStyle w:val="4"/>
        <w:pageBreakBefore w:val="0"/>
        <w:numPr>
          <w:ilvl w:val="0"/>
          <w:numId w:val="5"/>
        </w:numPr>
        <w:kinsoku/>
        <w:wordWrap/>
        <w:overflowPunct/>
        <w:topLinePunct w:val="0"/>
        <w:autoSpaceDE/>
        <w:autoSpaceDN/>
        <w:bidi w:val="0"/>
        <w:spacing w:line="520" w:lineRule="exact"/>
        <w:jc w:val="center"/>
        <w:textAlignment w:val="auto"/>
        <w:rPr>
          <w:rFonts w:hint="eastAsia" w:ascii="宋体" w:hAnsi="宋体" w:eastAsia="宋体" w:cs="宋体"/>
          <w:color w:val="auto"/>
          <w:sz w:val="28"/>
          <w:szCs w:val="28"/>
        </w:rPr>
      </w:pPr>
      <w:bookmarkStart w:id="264" w:name="_Toc3200"/>
      <w:bookmarkStart w:id="265" w:name="_Toc10450"/>
      <w:bookmarkStart w:id="266" w:name="_Toc3979"/>
      <w:bookmarkStart w:id="267" w:name="_Toc17502"/>
      <w:r>
        <w:rPr>
          <w:rFonts w:hint="eastAsia" w:ascii="宋体" w:hAnsi="宋体" w:eastAsia="宋体" w:cs="宋体"/>
          <w:color w:val="auto"/>
          <w:sz w:val="28"/>
          <w:szCs w:val="28"/>
        </w:rPr>
        <w:t>推进教育优质均衡发展</w:t>
      </w:r>
      <w:bookmarkEnd w:id="264"/>
      <w:bookmarkEnd w:id="265"/>
      <w:bookmarkEnd w:id="266"/>
      <w:bookmarkEnd w:id="267"/>
    </w:p>
    <w:p w14:paraId="369BF74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党对教育的全面领导，教育引导全体师生树牢“四个意识”、坚定“四个自信”、坚决做到“两个维护”，铸牢中华民族共同体意识，认真落实国家统编教材使用。加快推进学校建设标准化、科学化、规范化、现代化建设，坚持“小而全、小而美、小而富”发展目标，实现学校基础教育健康、持续、优质发展。</w:t>
      </w:r>
    </w:p>
    <w:p w14:paraId="445BB34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重点加强对教育适度超前发展体系、“五育”并举发展体系、教育高质量发展体系等教学体系建设，加强完善教育投入机制，保障教育事业优先投入，充分利用本地区学前教育资源，大力推动幼托一体化发展，提高全区学前教育普及率。积极探索封闭式管理或“公办民助”办学模式。实施名师带动、校级互动、区域联动的“三动”策略，促进教师专业化成长。大力推进传统文化进校园，实施“诵经典、读名著、练书法”三项育人工程。全面做好国家级优秀教学成果推广应用工作，全面推动“小班化”教育，让小班化教育改革成为推动我区教育高质量发展的重要引擎。</w:t>
      </w:r>
    </w:p>
    <w:p w14:paraId="22CD40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t>着力推动教育领域综合改革，</w:t>
      </w:r>
      <w:r>
        <w:rPr>
          <w:rFonts w:hint="eastAsia" w:ascii="仿宋" w:hAnsi="仿宋" w:eastAsia="仿宋" w:cs="仿宋"/>
          <w:snapToGrid w:val="0"/>
          <w:color w:val="auto"/>
          <w:spacing w:val="0"/>
          <w:kern w:val="0"/>
          <w:sz w:val="24"/>
          <w:szCs w:val="24"/>
          <w:lang w:val="en-US" w:eastAsia="zh-CN" w:bidi="ar-SA"/>
        </w:rPr>
        <w:t>全面推进教育督导评价、区管校聘、“五育并举”的制度建设。大力拓展、延伸学校教育领域，积极开展语言、美术、体育、声乐、器乐、舞蹈、棋类、科技等多门类课外教育；以人文、自然、矿产等丰富内容为载体，组织开展研学教育、素质教育；结合我区工矿区的特点，开设木艺、现代信息技术等特色课程。</w:t>
      </w:r>
    </w:p>
    <w:p w14:paraId="2DF7551A">
      <w:pPr>
        <w:pStyle w:val="2"/>
        <w:outlineLvl w:val="9"/>
        <w:rPr>
          <w:rFonts w:hint="eastAsia"/>
          <w:sz w:val="21"/>
          <w:szCs w:val="21"/>
          <w:lang w:val="en-US" w:eastAsia="zh-CN"/>
        </w:rPr>
      </w:pPr>
    </w:p>
    <w:tbl>
      <w:tblPr>
        <w:tblStyle w:val="13"/>
        <w:tblW w:w="555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tblGrid>
      <w:tr w14:paraId="3E9A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550" w:type="dxa"/>
            <w:tcBorders>
              <w:top w:val="single" w:color="auto" w:sz="4" w:space="0"/>
              <w:left w:val="single" w:color="auto" w:sz="4" w:space="0"/>
              <w:bottom w:val="single" w:color="auto" w:sz="4" w:space="0"/>
              <w:right w:val="single" w:color="auto" w:sz="4" w:space="0"/>
            </w:tcBorders>
            <w:noWrap/>
            <w:vAlign w:val="top"/>
          </w:tcPr>
          <w:p w14:paraId="5BD02E5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bookmarkStart w:id="268" w:name="_Toc23719"/>
            <w:bookmarkStart w:id="269" w:name="_Toc16782"/>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16  推进教育优质均衡发展</w:t>
            </w:r>
          </w:p>
          <w:p w14:paraId="6B840650">
            <w:pPr>
              <w:pStyle w:val="28"/>
              <w:pageBreakBefore w:val="0"/>
              <w:widowControl w:val="0"/>
              <w:kinsoku/>
              <w:wordWrap/>
              <w:overflowPunct/>
              <w:topLinePunct w:val="0"/>
              <w:autoSpaceDE/>
              <w:autoSpaceDN/>
              <w:bidi w:val="0"/>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白云鄂博矿区蒙古族小学艺术楼新建项目：</w:t>
            </w:r>
            <w:r>
              <w:rPr>
                <w:rFonts w:hint="eastAsia" w:ascii="仿宋" w:hAnsi="仿宋" w:eastAsia="仿宋" w:cs="仿宋"/>
                <w:b w:val="0"/>
                <w:bCs w:val="0"/>
                <w:sz w:val="24"/>
                <w:szCs w:val="24"/>
                <w:highlight w:val="none"/>
                <w:lang w:val="en-US" w:eastAsia="zh-CN"/>
              </w:rPr>
              <w:t>新建艺术楼并完善相关配套设施建设。</w:t>
            </w:r>
          </w:p>
        </w:tc>
      </w:tr>
    </w:tbl>
    <w:p w14:paraId="1B8E450C">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270" w:name="_Toc29028"/>
      <w:bookmarkStart w:id="271" w:name="_Toc18315"/>
      <w:r>
        <w:rPr>
          <w:rFonts w:hint="eastAsia" w:ascii="宋体" w:hAnsi="宋体" w:eastAsia="宋体" w:cs="宋体"/>
          <w:sz w:val="28"/>
          <w:szCs w:val="28"/>
        </w:rPr>
        <w:t>第</w:t>
      </w:r>
      <w:r>
        <w:rPr>
          <w:rFonts w:hint="eastAsia" w:ascii="宋体" w:hAnsi="宋体" w:eastAsia="宋体" w:cs="宋体"/>
          <w:sz w:val="28"/>
          <w:szCs w:val="28"/>
          <w:lang w:eastAsia="zh-CN"/>
        </w:rPr>
        <w:t>二节</w:t>
      </w:r>
      <w:r>
        <w:rPr>
          <w:rFonts w:hint="eastAsia" w:ascii="宋体" w:hAnsi="宋体" w:eastAsia="宋体" w:cs="宋体"/>
          <w:sz w:val="28"/>
          <w:szCs w:val="28"/>
        </w:rPr>
        <w:t xml:space="preserve"> 统筹</w:t>
      </w:r>
      <w:r>
        <w:rPr>
          <w:rFonts w:hint="eastAsia" w:ascii="宋体" w:hAnsi="宋体" w:cs="宋体"/>
          <w:sz w:val="28"/>
          <w:szCs w:val="28"/>
          <w:lang w:eastAsia="zh-CN"/>
        </w:rPr>
        <w:t>推进</w:t>
      </w:r>
      <w:r>
        <w:rPr>
          <w:rFonts w:hint="eastAsia" w:ascii="宋体" w:hAnsi="宋体" w:eastAsia="宋体" w:cs="宋体"/>
          <w:sz w:val="28"/>
          <w:szCs w:val="28"/>
          <w:lang w:eastAsia="zh-CN"/>
        </w:rPr>
        <w:t>社会保障</w:t>
      </w:r>
      <w:bookmarkEnd w:id="268"/>
      <w:bookmarkEnd w:id="269"/>
      <w:bookmarkEnd w:id="270"/>
      <w:bookmarkEnd w:id="271"/>
    </w:p>
    <w:p w14:paraId="39C7DAF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建设覆盖全民、公平统一、可持续的多层次社会保障体系。实施更加积极的就业政策，推动创业带动就业，重视和发展社会救助工作，深入推进残疾人就业，帮扶就业困难人员实现稳定就业。增加低收入劳动者收入，扩大中等收入者比重，多渠道增加居民财产性收入。完善最低工资标准增长机制，在经济发展基础上合理调整最低工资标准。落实国家精简“五险一金”政策，优化养老保险政策，推进企业员工足额参保；健全养老保障待遇正常调整机制，完善企业年金和职业年金制度。完善养老服务体系建设，形成以居家为基础，以社区为依托，以机构为重点的综合养老服务模式。完善大病保险制度和异地就医结算机制。完善多元化社会保险体系，积极发展商业养老保险和医疗保险。健全退役军人工作体系和保障制度，提高退役军人服务和保障水平。完善分层分类的社会救助体系。实施基层社会救助能力升级工程，稳步提高城市低保、三无人员、孤儿、优抚对象等特殊困难群体保障标准，有效保障困难群众基本生活。</w:t>
      </w:r>
      <w:r>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t>到2025年，白云矿区实现扩大就业2000人以上。</w:t>
      </w:r>
    </w:p>
    <w:p w14:paraId="399D5619">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72" w:name="_Toc24798"/>
      <w:bookmarkStart w:id="273" w:name="_Toc16146"/>
      <w:bookmarkStart w:id="274" w:name="_Toc31901"/>
      <w:bookmarkStart w:id="275" w:name="_Toc22518"/>
      <w:r>
        <w:rPr>
          <w:rFonts w:hint="eastAsia" w:ascii="宋体" w:hAnsi="宋体" w:eastAsia="宋体" w:cs="宋体"/>
          <w:sz w:val="28"/>
          <w:szCs w:val="28"/>
          <w:lang w:eastAsia="zh-CN"/>
        </w:rPr>
        <w:t>第三节</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提高</w:t>
      </w:r>
      <w:bookmarkEnd w:id="272"/>
      <w:bookmarkEnd w:id="273"/>
      <w:r>
        <w:rPr>
          <w:rFonts w:hint="eastAsia" w:ascii="宋体" w:hAnsi="宋体" w:cs="宋体"/>
          <w:sz w:val="28"/>
          <w:szCs w:val="28"/>
          <w:lang w:val="en-US" w:eastAsia="zh-CN"/>
        </w:rPr>
        <w:t>医疗服务能力</w:t>
      </w:r>
      <w:bookmarkEnd w:id="274"/>
      <w:bookmarkEnd w:id="275"/>
    </w:p>
    <w:p w14:paraId="10157E8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highlight w:val="yellow"/>
          <w:lang w:val="en-US" w:eastAsia="zh-CN" w:bidi="ar-SA"/>
        </w:rPr>
      </w:pPr>
      <w:bookmarkStart w:id="276" w:name="_Toc27944"/>
      <w:r>
        <w:rPr>
          <w:rFonts w:hint="eastAsia" w:ascii="仿宋" w:hAnsi="仿宋" w:eastAsia="仿宋" w:cs="仿宋"/>
          <w:snapToGrid w:val="0"/>
          <w:color w:val="auto"/>
          <w:spacing w:val="0"/>
          <w:kern w:val="0"/>
          <w:sz w:val="24"/>
          <w:szCs w:val="24"/>
          <w:highlight w:val="none"/>
          <w:lang w:val="en-US" w:eastAsia="zh-CN" w:bidi="ar-SA"/>
        </w:rPr>
        <w:t>加强现代化疾病预防控制体系建设，建立综合疾病防控体系、公共卫生应急管理体系，提升疾控中心检验检测能力。加强公立医院和社区卫生服务中心疾病预防职责，健全公共卫生和社区联动工作机制。针对新型冠状病毒疫情防控需求，建设跨区域专科医疗联盟。进一步加强公立医院、社区卫生服务中心医疗能力建设，加强优势医疗专科合作，建设重点专科，全面提升医疗卫生服务水平。加强蒙中医院人才、技术、临床专科等核心能力建设，加大医疗基础设施建设投入，加强医院信息化建设，实现管理、医疗、预防、保健等办公自动化、网络化、无纸化、医学影像数字化的管理模式。完善传染病防治体系，形成部门社区企业间联动机制。</w:t>
      </w:r>
    </w:p>
    <w:p w14:paraId="5CD0694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实施健康知识普及行动，面向家庭和个人普及预防疾病、早期发现、及时就医、合理治疗等维护健康的知识与技能。实施心理健康促进行动，加强心理健康服务体系建设，提升全民心理健康素质。推进全民健身行动，推动在社区、公园、广场增设运动设施。积极开展具有区域特色的群众体育品牌赛事和活动，增强全民身体素质。</w:t>
      </w:r>
    </w:p>
    <w:p w14:paraId="3A04B75B">
      <w:pPr>
        <w:pStyle w:val="2"/>
        <w:outlineLvl w:val="9"/>
        <w:rPr>
          <w:rFonts w:hint="eastAsia" w:ascii="仿宋" w:hAnsi="仿宋" w:eastAsia="仿宋" w:cs="仿宋"/>
          <w:sz w:val="24"/>
          <w:szCs w:val="24"/>
          <w:lang w:val="en-US" w:eastAsia="zh-CN"/>
        </w:rPr>
      </w:pPr>
    </w:p>
    <w:tbl>
      <w:tblPr>
        <w:tblStyle w:val="13"/>
        <w:tblW w:w="559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5"/>
      </w:tblGrid>
      <w:tr w14:paraId="2D18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trPr>
        <w:tc>
          <w:tcPr>
            <w:tcW w:w="5595" w:type="dxa"/>
            <w:tcBorders>
              <w:top w:val="single" w:color="auto" w:sz="4" w:space="0"/>
              <w:left w:val="single" w:color="auto" w:sz="4" w:space="0"/>
              <w:bottom w:val="single" w:color="auto" w:sz="4" w:space="0"/>
              <w:right w:val="single" w:color="auto" w:sz="4" w:space="0"/>
            </w:tcBorders>
            <w:noWrap/>
            <w:vAlign w:val="top"/>
          </w:tcPr>
          <w:p w14:paraId="69BA913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17 推动健康白云建设</w:t>
            </w:r>
          </w:p>
          <w:p w14:paraId="64EDF077">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白云鄂博矿区健康养老产业园建设项目（二期）：</w:t>
            </w:r>
            <w:r>
              <w:rPr>
                <w:rFonts w:hint="eastAsia" w:ascii="仿宋" w:hAnsi="仿宋" w:eastAsia="仿宋" w:cs="仿宋"/>
                <w:b w:val="0"/>
                <w:bCs w:val="0"/>
                <w:sz w:val="24"/>
                <w:szCs w:val="24"/>
                <w:highlight w:val="none"/>
                <w:lang w:val="en-US" w:eastAsia="zh-CN"/>
              </w:rPr>
              <w:t>建设老年综合养护院、老年综合活动中心、老年大学及相关附属配套设施；</w:t>
            </w:r>
          </w:p>
          <w:p w14:paraId="60E245AB">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白云鄂博矿区蒙医中医医院整体能力提升工程：</w:t>
            </w:r>
            <w:r>
              <w:rPr>
                <w:rFonts w:hint="eastAsia" w:ascii="仿宋" w:hAnsi="仿宋" w:eastAsia="仿宋" w:cs="仿宋"/>
                <w:b w:val="0"/>
                <w:bCs w:val="0"/>
                <w:sz w:val="24"/>
                <w:szCs w:val="24"/>
                <w:highlight w:val="none"/>
                <w:lang w:val="en-US" w:eastAsia="zh-CN"/>
              </w:rPr>
              <w:t>新建门诊楼、发热（传染）病区，对现有住院部进行升级改造等。</w:t>
            </w:r>
          </w:p>
        </w:tc>
      </w:tr>
    </w:tbl>
    <w:p w14:paraId="087E8526">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77" w:name="_Toc12670"/>
      <w:bookmarkStart w:id="278" w:name="_Toc23297"/>
      <w:bookmarkStart w:id="279" w:name="_Toc22847"/>
      <w:r>
        <w:rPr>
          <w:rFonts w:hint="eastAsia" w:ascii="宋体" w:hAnsi="宋体" w:eastAsia="宋体" w:cs="宋体"/>
          <w:sz w:val="28"/>
          <w:szCs w:val="28"/>
          <w:lang w:val="en-US" w:eastAsia="zh-CN"/>
        </w:rPr>
        <w:t xml:space="preserve">第四节 </w:t>
      </w:r>
      <w:r>
        <w:rPr>
          <w:rFonts w:hint="eastAsia" w:ascii="宋体" w:hAnsi="宋体" w:cs="宋体"/>
          <w:sz w:val="28"/>
          <w:szCs w:val="28"/>
          <w:lang w:val="en-US" w:eastAsia="zh-CN"/>
        </w:rPr>
        <w:t>加强</w:t>
      </w:r>
      <w:r>
        <w:rPr>
          <w:rFonts w:hint="eastAsia" w:ascii="宋体" w:hAnsi="宋体" w:eastAsia="宋体" w:cs="宋体"/>
          <w:sz w:val="28"/>
          <w:szCs w:val="28"/>
          <w:lang w:val="en-US" w:eastAsia="zh-CN"/>
        </w:rPr>
        <w:t>社会治理能力</w:t>
      </w:r>
      <w:bookmarkEnd w:id="276"/>
      <w:bookmarkEnd w:id="277"/>
      <w:bookmarkEnd w:id="278"/>
      <w:bookmarkEnd w:id="279"/>
    </w:p>
    <w:p w14:paraId="6605740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坚持多方参与、共同治理、统筹兼顾、动态协调的原则，创新社会治理机制。建立健全基层社区管理机构和队伍，加强社会管理，提高公共服务能力。加快实施政社分开，探索建立新型社区治理体制。以网格化管理、志愿服务为基础，健全基层管理体系，完善社区便民服务体系，引导社会力量有序开展社区服务，完善社区服务设施，丰富社区服务手段，逐步建立包括社区服务中心、文体活动中心、卫生服务中心、居家养老服务中心等服务门类齐全的社区服务体系。发挥群团组织、社会组织、行业协会的作用，实现政治治理和社会调解、居民自治良性互动的局面。建设人人有责、人人尽责、人人享有的共建共治共享社会治理格局。</w:t>
      </w:r>
    </w:p>
    <w:p w14:paraId="0F883C0D">
      <w:pPr>
        <w:pStyle w:val="4"/>
        <w:pageBreakBefore w:val="0"/>
        <w:numPr>
          <w:ilvl w:val="0"/>
          <w:numId w:val="6"/>
        </w:numPr>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80" w:name="_Toc18130"/>
      <w:bookmarkStart w:id="281" w:name="_Toc22076"/>
      <w:bookmarkStart w:id="282" w:name="_Toc26849"/>
      <w:r>
        <w:rPr>
          <w:rFonts w:hint="eastAsia" w:ascii="宋体" w:hAnsi="宋体" w:eastAsia="宋体" w:cs="宋体"/>
          <w:sz w:val="28"/>
          <w:szCs w:val="28"/>
          <w:lang w:val="en-US" w:eastAsia="zh-CN"/>
        </w:rPr>
        <w:t>促进人口均衡发展</w:t>
      </w:r>
      <w:bookmarkEnd w:id="280"/>
      <w:bookmarkEnd w:id="281"/>
      <w:bookmarkEnd w:id="282"/>
    </w:p>
    <w:p w14:paraId="49FEB0C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全面提升人口素质，落实国家生育政策，提高优生优育服务水平，发展普惠托育服务体系，降低生育、养育、教育成本，深化与体能健康素质、智能科教素质、精神文明素质相关的体制改革，重点在医药卫生、体育、教育、科技、精神文明建设等方面加强制度改革和配套设施建设。</w:t>
      </w:r>
    </w:p>
    <w:p w14:paraId="3714A3A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全面加强老龄健康保障政策体系和服务体系建设，打造以居家为基础、社区为依托、机构为支撑的综合养老服务体系。全面放开养老服务市场，通过购买服务、股权合作等方式鼓励社会力量参与，有效增加养老服务和产品供给。推动医疗卫生和养老服务相结合的“医养结合”模式，稳步提高养老保障和老年人医疗保障水平，发展普惠性老年健康医疗福利。</w:t>
      </w:r>
    </w:p>
    <w:p w14:paraId="429D263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贯彻实施妇女儿童发展纲要，坚持男女平等基本国策，保障妇女儿童合法权益，推进妇女儿童全面发展。优化妇女发展环境，促进妇女就业创业，增强妇女参与经济发展和社会管理能力。加强妇女劳动保护、社会福利、卫生保健及法律援助等工作。严厉打击暴力侵害妇女、拐卖妇女儿童等违法犯罪行为，加强家教、家风建设，充分发挥家教、家风在基层社会治理中的重要作用，发展家庭服务，构建普惠托育服务等，多元化促进婴幼儿照护服务。</w:t>
      </w:r>
      <w:bookmarkStart w:id="283" w:name="_Toc13251"/>
    </w:p>
    <w:p w14:paraId="73F7409E">
      <w:pPr>
        <w:pStyle w:val="2"/>
        <w:outlineLvl w:val="9"/>
        <w:rPr>
          <w:rFonts w:hint="eastAsia" w:ascii="仿宋" w:hAnsi="仿宋" w:eastAsia="仿宋" w:cs="仿宋"/>
          <w:snapToGrid w:val="0"/>
          <w:color w:val="auto"/>
          <w:spacing w:val="0"/>
          <w:kern w:val="0"/>
          <w:sz w:val="24"/>
          <w:szCs w:val="24"/>
          <w:lang w:val="en-US" w:eastAsia="zh-CN" w:bidi="ar-SA"/>
        </w:rPr>
      </w:pPr>
    </w:p>
    <w:p w14:paraId="2FEAB023">
      <w:pPr>
        <w:rPr>
          <w:rFonts w:hint="eastAsia" w:ascii="仿宋" w:hAnsi="仿宋" w:eastAsia="仿宋" w:cs="仿宋"/>
          <w:snapToGrid w:val="0"/>
          <w:color w:val="auto"/>
          <w:spacing w:val="0"/>
          <w:kern w:val="0"/>
          <w:sz w:val="24"/>
          <w:szCs w:val="24"/>
          <w:lang w:val="en-US" w:eastAsia="zh-CN" w:bidi="ar-SA"/>
        </w:rPr>
      </w:pPr>
    </w:p>
    <w:p w14:paraId="68E6354E">
      <w:pPr>
        <w:pStyle w:val="2"/>
        <w:outlineLvl w:val="9"/>
        <w:rPr>
          <w:rFonts w:hint="eastAsia" w:ascii="仿宋" w:hAnsi="仿宋" w:eastAsia="仿宋" w:cs="仿宋"/>
          <w:snapToGrid w:val="0"/>
          <w:color w:val="auto"/>
          <w:spacing w:val="0"/>
          <w:kern w:val="0"/>
          <w:sz w:val="24"/>
          <w:szCs w:val="24"/>
          <w:lang w:val="en-US" w:eastAsia="zh-CN" w:bidi="ar-SA"/>
        </w:rPr>
      </w:pPr>
    </w:p>
    <w:p w14:paraId="1F023D07">
      <w:pPr>
        <w:rPr>
          <w:rFonts w:hint="eastAsia" w:ascii="仿宋" w:hAnsi="仿宋" w:eastAsia="仿宋" w:cs="仿宋"/>
          <w:snapToGrid w:val="0"/>
          <w:color w:val="auto"/>
          <w:spacing w:val="0"/>
          <w:kern w:val="0"/>
          <w:sz w:val="24"/>
          <w:szCs w:val="24"/>
          <w:lang w:val="en-US" w:eastAsia="zh-CN" w:bidi="ar-SA"/>
        </w:rPr>
      </w:pPr>
    </w:p>
    <w:p w14:paraId="35232945">
      <w:pPr>
        <w:pStyle w:val="2"/>
        <w:outlineLvl w:val="9"/>
        <w:rPr>
          <w:rFonts w:hint="eastAsia" w:ascii="仿宋" w:hAnsi="仿宋" w:eastAsia="仿宋" w:cs="仿宋"/>
          <w:snapToGrid w:val="0"/>
          <w:color w:val="auto"/>
          <w:spacing w:val="0"/>
          <w:kern w:val="0"/>
          <w:sz w:val="24"/>
          <w:szCs w:val="24"/>
          <w:lang w:val="en-US" w:eastAsia="zh-CN" w:bidi="ar-SA"/>
        </w:rPr>
      </w:pPr>
    </w:p>
    <w:p w14:paraId="243AB711">
      <w:pPr>
        <w:rPr>
          <w:rFonts w:hint="eastAsia" w:ascii="仿宋" w:hAnsi="仿宋" w:eastAsia="仿宋" w:cs="仿宋"/>
          <w:snapToGrid w:val="0"/>
          <w:color w:val="auto"/>
          <w:spacing w:val="0"/>
          <w:kern w:val="0"/>
          <w:sz w:val="24"/>
          <w:szCs w:val="24"/>
          <w:lang w:val="en-US" w:eastAsia="zh-CN" w:bidi="ar-SA"/>
        </w:rPr>
      </w:pPr>
    </w:p>
    <w:p w14:paraId="1CA129E2">
      <w:pPr>
        <w:pStyle w:val="2"/>
        <w:outlineLvl w:val="9"/>
        <w:rPr>
          <w:rFonts w:hint="eastAsia"/>
          <w:lang w:val="en-US" w:eastAsia="zh-CN"/>
        </w:rPr>
      </w:pPr>
    </w:p>
    <w:p w14:paraId="68728122">
      <w:pPr>
        <w:pStyle w:val="3"/>
        <w:pageBreakBefore w:val="0"/>
        <w:numPr>
          <w:ilvl w:val="0"/>
          <w:numId w:val="0"/>
        </w:numPr>
        <w:kinsoku/>
        <w:wordWrap/>
        <w:overflowPunct/>
        <w:topLinePunct w:val="0"/>
        <w:autoSpaceDE/>
        <w:autoSpaceDN/>
        <w:bidi w:val="0"/>
        <w:spacing w:line="520" w:lineRule="exact"/>
        <w:ind w:leftChars="-95"/>
        <w:jc w:val="center"/>
        <w:textAlignment w:val="auto"/>
        <w:rPr>
          <w:rFonts w:hint="eastAsia" w:ascii="Cambria" w:hAnsi="Cambria" w:eastAsia="方正黑体简体" w:cs="Times New Roman"/>
          <w:b w:val="0"/>
          <w:bCs/>
          <w:kern w:val="0"/>
          <w:sz w:val="28"/>
          <w:szCs w:val="32"/>
          <w:lang w:val="en-US" w:eastAsia="zh-CN" w:bidi="ar-SA"/>
        </w:rPr>
      </w:pPr>
      <w:bookmarkStart w:id="284" w:name="_Toc10260"/>
      <w:bookmarkStart w:id="285" w:name="_Toc7920"/>
      <w:bookmarkStart w:id="286" w:name="_Toc26869"/>
      <w:r>
        <w:rPr>
          <w:rFonts w:hint="eastAsia" w:ascii="Cambria" w:hAnsi="Cambria" w:eastAsia="方正黑体简体" w:cs="Times New Roman"/>
          <w:b w:val="0"/>
          <w:bCs/>
          <w:kern w:val="0"/>
          <w:sz w:val="28"/>
          <w:szCs w:val="32"/>
          <w:lang w:val="en-US" w:eastAsia="zh-CN" w:bidi="ar-SA"/>
        </w:rPr>
        <w:t>第十二章 统筹发展和安全</w:t>
      </w:r>
      <w:bookmarkEnd w:id="283"/>
      <w:r>
        <w:rPr>
          <w:rFonts w:hint="eastAsia" w:ascii="Cambria" w:hAnsi="Cambria" w:eastAsia="方正黑体简体" w:cs="Times New Roman"/>
          <w:b w:val="0"/>
          <w:bCs/>
          <w:kern w:val="0"/>
          <w:sz w:val="28"/>
          <w:szCs w:val="32"/>
          <w:lang w:val="en-US" w:eastAsia="zh-CN" w:bidi="ar-SA"/>
        </w:rPr>
        <w:t xml:space="preserve"> 构筑祖国北疆安全稳定屏障</w:t>
      </w:r>
      <w:bookmarkEnd w:id="284"/>
      <w:bookmarkEnd w:id="285"/>
      <w:bookmarkEnd w:id="286"/>
    </w:p>
    <w:p w14:paraId="47E36D54">
      <w:pPr>
        <w:pageBreakBefore w:val="0"/>
        <w:numPr>
          <w:ilvl w:val="0"/>
          <w:numId w:val="0"/>
        </w:numPr>
        <w:kinsoku/>
        <w:wordWrap/>
        <w:overflowPunct/>
        <w:topLinePunct w:val="0"/>
        <w:autoSpaceDE/>
        <w:autoSpaceDN/>
        <w:bidi w:val="0"/>
        <w:spacing w:line="520" w:lineRule="exact"/>
        <w:ind w:leftChars="-95"/>
        <w:textAlignment w:val="auto"/>
        <w:rPr>
          <w:rFonts w:hint="eastAsia" w:ascii="仿宋" w:hAnsi="仿宋" w:eastAsia="仿宋" w:cs="仿宋"/>
          <w:sz w:val="24"/>
          <w:szCs w:val="24"/>
          <w:lang w:val="en-US"/>
        </w:rPr>
      </w:pPr>
    </w:p>
    <w:p w14:paraId="64117CC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全面落实国家安全战略，坚持底线思维，把安全发展贯穿于经济社会发展各领域、全过程，防范和化解影响现代化进程的各种风险，捍卫政治安全，确保国家经济安全，保障人民生命安全，维护社会稳定和安全，建设更高起点、更广领域、更富实效、更可持续的平安白云矿区。</w:t>
      </w:r>
    </w:p>
    <w:p w14:paraId="071FB1BF">
      <w:pPr>
        <w:pStyle w:val="4"/>
        <w:pageBreakBefore w:val="0"/>
        <w:numPr>
          <w:ilvl w:val="0"/>
          <w:numId w:val="7"/>
        </w:numPr>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87" w:name="_Toc9341"/>
      <w:bookmarkStart w:id="288" w:name="_Toc4635"/>
      <w:bookmarkStart w:id="289" w:name="_Toc32569"/>
      <w:bookmarkStart w:id="290" w:name="_Toc17443"/>
      <w:r>
        <w:rPr>
          <w:rFonts w:hint="eastAsia" w:ascii="宋体" w:hAnsi="宋体" w:cs="宋体"/>
          <w:sz w:val="28"/>
          <w:szCs w:val="28"/>
          <w:lang w:val="en-US" w:eastAsia="zh-CN"/>
        </w:rPr>
        <w:t>加强国家</w:t>
      </w:r>
      <w:r>
        <w:rPr>
          <w:rFonts w:hint="eastAsia" w:ascii="宋体" w:hAnsi="宋体" w:eastAsia="宋体" w:cs="宋体"/>
          <w:sz w:val="28"/>
          <w:szCs w:val="28"/>
          <w:lang w:val="en-US" w:eastAsia="zh-CN"/>
        </w:rPr>
        <w:t>安全</w:t>
      </w:r>
      <w:bookmarkEnd w:id="287"/>
      <w:bookmarkEnd w:id="288"/>
      <w:r>
        <w:rPr>
          <w:rFonts w:hint="eastAsia" w:ascii="宋体" w:hAnsi="宋体" w:cs="宋体"/>
          <w:sz w:val="28"/>
          <w:szCs w:val="28"/>
          <w:lang w:val="en-US" w:eastAsia="zh-CN"/>
        </w:rPr>
        <w:t>意识</w:t>
      </w:r>
      <w:bookmarkEnd w:id="289"/>
      <w:bookmarkEnd w:id="290"/>
    </w:p>
    <w:p w14:paraId="635AC38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加强国家安全宣传教育，增强国家安全意识，巩固国家安全人民防线。</w:t>
      </w:r>
      <w:r>
        <w:rPr>
          <w:rFonts w:hint="eastAsia" w:ascii="仿宋" w:hAnsi="仿宋" w:eastAsia="仿宋" w:cs="仿宋"/>
          <w:b w:val="0"/>
          <w:bCs w:val="0"/>
          <w:snapToGrid w:val="0"/>
          <w:color w:val="auto"/>
          <w:spacing w:val="0"/>
          <w:kern w:val="0"/>
          <w:sz w:val="24"/>
          <w:szCs w:val="24"/>
          <w:lang w:val="en-US" w:eastAsia="zh-CN" w:bidi="ar-SA"/>
        </w:rPr>
        <w:t>坚持富民与强边统一，</w:t>
      </w:r>
      <w:r>
        <w:rPr>
          <w:rFonts w:hint="eastAsia" w:ascii="仿宋" w:hAnsi="仿宋" w:eastAsia="仿宋" w:cs="仿宋"/>
          <w:snapToGrid w:val="0"/>
          <w:color w:val="auto"/>
          <w:spacing w:val="0"/>
          <w:kern w:val="0"/>
          <w:sz w:val="24"/>
          <w:szCs w:val="24"/>
          <w:lang w:val="en-US" w:eastAsia="zh-CN" w:bidi="ar-SA"/>
        </w:rPr>
        <w:t>共同筑牢包头市北部边疆安全屏障。加强军地协调，构建组织管理体系，健全经济与国防协调发展组织机构，建立军民融合常态化工作机制。</w:t>
      </w:r>
    </w:p>
    <w:p w14:paraId="54A48903">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91" w:name="_Toc20893"/>
      <w:bookmarkStart w:id="292" w:name="_Toc21504"/>
      <w:bookmarkStart w:id="293" w:name="_Toc14128"/>
      <w:bookmarkStart w:id="294" w:name="_Toc30858"/>
      <w:r>
        <w:rPr>
          <w:rFonts w:hint="eastAsia" w:ascii="宋体" w:hAnsi="宋体" w:eastAsia="宋体" w:cs="宋体"/>
          <w:sz w:val="28"/>
          <w:szCs w:val="28"/>
          <w:lang w:val="en-US" w:eastAsia="zh-CN"/>
        </w:rPr>
        <w:t>第二节 做好民族宗教工作</w:t>
      </w:r>
      <w:bookmarkEnd w:id="291"/>
      <w:bookmarkEnd w:id="292"/>
      <w:bookmarkEnd w:id="293"/>
      <w:bookmarkEnd w:id="294"/>
    </w:p>
    <w:p w14:paraId="1DFAF05E">
      <w:pPr>
        <w:pStyle w:val="7"/>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val="0"/>
          <w:bCs w:val="0"/>
          <w:snapToGrid w:val="0"/>
          <w:color w:val="auto"/>
          <w:spacing w:val="0"/>
          <w:kern w:val="0"/>
          <w:sz w:val="24"/>
          <w:szCs w:val="24"/>
          <w:lang w:val="en-US" w:eastAsia="zh-CN" w:bidi="ar-SA"/>
        </w:rPr>
        <w:t>深入贯彻习近平总书记在内蒙古的重要讲话精神，</w:t>
      </w:r>
      <w:r>
        <w:rPr>
          <w:rFonts w:hint="eastAsia" w:ascii="仿宋" w:hAnsi="仿宋" w:eastAsia="仿宋" w:cs="仿宋"/>
          <w:snapToGrid w:val="0"/>
          <w:color w:val="auto"/>
          <w:spacing w:val="0"/>
          <w:kern w:val="0"/>
          <w:sz w:val="24"/>
          <w:szCs w:val="24"/>
          <w:lang w:val="en-US" w:eastAsia="zh-CN" w:bidi="ar-SA"/>
        </w:rPr>
        <w:t>以铸牢中华民族共同体意识为主线，</w:t>
      </w:r>
      <w:r>
        <w:rPr>
          <w:rFonts w:hint="eastAsia" w:ascii="仿宋" w:hAnsi="仿宋" w:eastAsia="仿宋" w:cs="仿宋"/>
          <w:b w:val="0"/>
          <w:bCs w:val="0"/>
          <w:snapToGrid w:val="0"/>
          <w:color w:val="auto"/>
          <w:spacing w:val="0"/>
          <w:kern w:val="0"/>
          <w:sz w:val="24"/>
          <w:szCs w:val="24"/>
          <w:lang w:val="en-US" w:eastAsia="zh-CN" w:bidi="ar-SA"/>
        </w:rPr>
        <w:t>增强各族群众对伟大祖国、中华民族、中华文化、中国共产党、中国特色社会主义的认同感。</w:t>
      </w:r>
      <w:r>
        <w:rPr>
          <w:rFonts w:hint="eastAsia" w:ascii="仿宋" w:hAnsi="仿宋" w:eastAsia="仿宋" w:cs="仿宋"/>
          <w:snapToGrid w:val="0"/>
          <w:color w:val="auto"/>
          <w:spacing w:val="0"/>
          <w:kern w:val="0"/>
          <w:sz w:val="24"/>
          <w:szCs w:val="24"/>
          <w:lang w:val="en-US" w:eastAsia="zh-CN" w:bidi="ar-SA"/>
        </w:rPr>
        <w:t>全面加强党的民族政策、法律法规宣传教育，将民族团结教育纳入干部教育、学校教育、社会教育中，让守望相助理念和“三个离不开”、“五个认同”思想在各族人民心中深深扎根，促进各民族交往交流交融。</w:t>
      </w:r>
    </w:p>
    <w:p w14:paraId="59EFDA4F">
      <w:pPr>
        <w:pStyle w:val="26"/>
        <w:pageBreakBefore w:val="0"/>
        <w:kinsoku/>
        <w:wordWrap/>
        <w:overflowPunct/>
        <w:topLinePunct w:val="0"/>
        <w:autoSpaceDE/>
        <w:autoSpaceDN/>
        <w:bidi w:val="0"/>
        <w:spacing w:line="520" w:lineRule="exact"/>
        <w:ind w:left="0" w:leftChars="0"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val="0"/>
          <w:bCs w:val="0"/>
          <w:snapToGrid w:val="0"/>
          <w:color w:val="auto"/>
          <w:spacing w:val="0"/>
          <w:kern w:val="0"/>
          <w:sz w:val="24"/>
          <w:szCs w:val="24"/>
          <w:lang w:val="en-US" w:eastAsia="zh-CN" w:bidi="ar-SA"/>
        </w:rPr>
        <w:t>依法加强民族事务管理。</w:t>
      </w:r>
      <w:r>
        <w:rPr>
          <w:rFonts w:hint="eastAsia" w:ascii="仿宋" w:hAnsi="仿宋" w:eastAsia="仿宋" w:cs="仿宋"/>
          <w:snapToGrid w:val="0"/>
          <w:color w:val="auto"/>
          <w:spacing w:val="0"/>
          <w:kern w:val="0"/>
          <w:sz w:val="24"/>
          <w:szCs w:val="24"/>
          <w:lang w:val="en-US" w:eastAsia="zh-CN" w:bidi="ar-SA"/>
        </w:rPr>
        <w:t>深入贯彻落实宪法和民族区域自治法，全面依法保障各民族公民合法权益。加强民族政策法规执行情况监督检查。畅通各族公民合法表达利益诉求渠道，积极预防和依法妥善处理影响民族团结的矛盾纠纷，坚决打击破坏民族团结和制造民族分裂的违法犯罪行为。认真做好推广普及国家通用语言文字工作，全面推行使用国家统编教材，抓好青少年中华民族共同体意识教育，引导广大干部群众全面理解党的民族政策，树立正确的国家观、历史观、民族观、文化观、宗教观，旗帜鲜明反对各种错误思想观点，凝聚建设亮丽内蒙古，共圆伟大中国梦。</w:t>
      </w:r>
    </w:p>
    <w:p w14:paraId="2B1070FE">
      <w:pPr>
        <w:pStyle w:val="26"/>
        <w:pageBreakBefore w:val="0"/>
        <w:kinsoku/>
        <w:wordWrap/>
        <w:overflowPunct/>
        <w:topLinePunct w:val="0"/>
        <w:autoSpaceDE/>
        <w:autoSpaceDN/>
        <w:bidi w:val="0"/>
        <w:spacing w:line="520" w:lineRule="exact"/>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val="0"/>
          <w:bCs w:val="0"/>
          <w:snapToGrid w:val="0"/>
          <w:color w:val="auto"/>
          <w:spacing w:val="0"/>
          <w:kern w:val="0"/>
          <w:sz w:val="24"/>
          <w:szCs w:val="24"/>
          <w:lang w:val="en-US" w:eastAsia="zh-CN" w:bidi="ar-SA"/>
        </w:rPr>
        <w:t>深入推进宗教工作。</w:t>
      </w:r>
      <w:r>
        <w:rPr>
          <w:rFonts w:hint="eastAsia" w:ascii="仿宋" w:hAnsi="仿宋" w:eastAsia="仿宋" w:cs="仿宋"/>
          <w:snapToGrid w:val="0"/>
          <w:color w:val="auto"/>
          <w:spacing w:val="0"/>
          <w:kern w:val="0"/>
          <w:sz w:val="24"/>
          <w:szCs w:val="24"/>
          <w:lang w:val="en-US" w:eastAsia="zh-CN" w:bidi="ar-SA"/>
        </w:rPr>
        <w:t>深入学习贯彻习近平总书记关于坚持宗教中国化方向的重要论述和重要指示批示精神，加强宗教思想文化建设，培育践行社会主义核心价值观。推进宗教工作管理常态化、规范化、制度化。加强宗教人才培养，努力提升宗教界代表人士能力素质，建设一支政治上靠得住、宗教上有造诣、品德上能服众、关键时起作用的，符合新时代要求的爱国宗教人士队伍。全面贯彻落实党中央关于宗教工作的决策部署、《内蒙古自治区宗教事务条例》，提升宗教界法治观念，依法管理宗教事务，依法保障宗教界合法权益。持续改善宗教活动场所公共服务，切实把基础设施、社会保障等公共服务覆盖到宗教活动场所，不断改善宗教活动场所条件。</w:t>
      </w:r>
    </w:p>
    <w:p w14:paraId="2CBAE42B">
      <w:pPr>
        <w:pStyle w:val="4"/>
        <w:pageBreakBefore w:val="0"/>
        <w:numPr>
          <w:ilvl w:val="0"/>
          <w:numId w:val="0"/>
        </w:numPr>
        <w:tabs>
          <w:tab w:val="left" w:pos="0"/>
        </w:tabs>
        <w:kinsoku/>
        <w:wordWrap/>
        <w:overflowPunct/>
        <w:topLinePunct w:val="0"/>
        <w:autoSpaceDE/>
        <w:autoSpaceDN/>
        <w:bidi w:val="0"/>
        <w:spacing w:line="520" w:lineRule="exact"/>
        <w:ind w:leftChars="0"/>
        <w:jc w:val="center"/>
        <w:textAlignment w:val="auto"/>
        <w:rPr>
          <w:rFonts w:hint="eastAsia" w:ascii="宋体" w:hAnsi="宋体" w:eastAsia="宋体" w:cs="宋体"/>
          <w:sz w:val="28"/>
          <w:szCs w:val="28"/>
          <w:lang w:val="en-US" w:eastAsia="zh-CN"/>
        </w:rPr>
      </w:pPr>
      <w:bookmarkStart w:id="295" w:name="_Toc31413"/>
      <w:bookmarkStart w:id="296" w:name="_Toc1874"/>
      <w:bookmarkStart w:id="297" w:name="_Toc19402"/>
      <w:bookmarkStart w:id="298" w:name="_Toc22887"/>
      <w:r>
        <w:rPr>
          <w:rFonts w:hint="eastAsia" w:ascii="宋体" w:hAnsi="宋体" w:eastAsia="宋体" w:cs="宋体"/>
          <w:sz w:val="28"/>
          <w:szCs w:val="28"/>
          <w:lang w:val="en-US" w:eastAsia="zh-CN"/>
        </w:rPr>
        <w:t xml:space="preserve">第三节 </w:t>
      </w:r>
      <w:bookmarkEnd w:id="295"/>
      <w:r>
        <w:rPr>
          <w:rFonts w:hint="eastAsia" w:ascii="宋体" w:hAnsi="宋体" w:cs="宋体"/>
          <w:sz w:val="28"/>
          <w:szCs w:val="28"/>
          <w:lang w:val="en-US" w:eastAsia="zh-CN"/>
        </w:rPr>
        <w:t>提高</w:t>
      </w:r>
      <w:r>
        <w:rPr>
          <w:rFonts w:hint="eastAsia" w:ascii="宋体" w:hAnsi="宋体" w:eastAsia="宋体" w:cs="宋体"/>
          <w:sz w:val="28"/>
          <w:szCs w:val="28"/>
          <w:lang w:val="en-US" w:eastAsia="zh-CN"/>
        </w:rPr>
        <w:t>风险</w:t>
      </w:r>
      <w:bookmarkEnd w:id="296"/>
      <w:r>
        <w:rPr>
          <w:rFonts w:hint="eastAsia" w:ascii="宋体" w:hAnsi="宋体" w:eastAsia="宋体" w:cs="宋体"/>
          <w:sz w:val="28"/>
          <w:szCs w:val="28"/>
          <w:lang w:val="en-US" w:eastAsia="zh-CN"/>
        </w:rPr>
        <w:t>化解</w:t>
      </w:r>
      <w:r>
        <w:rPr>
          <w:rFonts w:hint="eastAsia" w:ascii="宋体" w:hAnsi="宋体" w:cs="宋体"/>
          <w:sz w:val="28"/>
          <w:szCs w:val="28"/>
          <w:lang w:val="en-US" w:eastAsia="zh-CN"/>
        </w:rPr>
        <w:t>能力</w:t>
      </w:r>
      <w:bookmarkEnd w:id="297"/>
      <w:bookmarkEnd w:id="298"/>
    </w:p>
    <w:p w14:paraId="17BD6917">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坚持底线思维，增强忧患意识，健全风险防控机制，提高风险化解能力，严密防范和化解各类风险。</w:t>
      </w:r>
    </w:p>
    <w:p w14:paraId="273B8119">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改革完善信访工作制度，畅通群众诉求表达通道；加强防控机制和能力建设，建立健全社会稳定风险监测预警指标体系和信息平台，提高社会矛盾研判预警能力，拓展多元化解渠道，发挥好调解、仲裁、行政复议、诉讼等方式作用，健全社会心理服务体系和危机干预机制。</w:t>
      </w:r>
    </w:p>
    <w:p w14:paraId="33EBC77A">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经济安全风险预警、防控机制和能力建设，实现重要产业、基础设施、战略资源、重大科技等关键领域安全可控。严厉打击非法集资、金融诈骗等各类非法金融活动，确保金融基础设施安全。健全政府债务管理制度，加强债务化解统筹机制，有效防范化解债务风险，维护金融安全。</w:t>
      </w:r>
    </w:p>
    <w:p w14:paraId="578D0668">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加强能源供需形势跟踪研判，切实做好能源安全稳定供应。结合白云矿区实际，稳定在电力、氢能、矿产资源等方面的生产能力，提高储存能力，完善销售体系。</w:t>
      </w:r>
    </w:p>
    <w:p w14:paraId="156BED2F">
      <w:pPr>
        <w:pStyle w:val="4"/>
        <w:pageBreakBefore w:val="0"/>
        <w:numPr>
          <w:ilvl w:val="0"/>
          <w:numId w:val="0"/>
        </w:numPr>
        <w:tabs>
          <w:tab w:val="left" w:pos="0"/>
        </w:tabs>
        <w:kinsoku/>
        <w:wordWrap/>
        <w:overflowPunct/>
        <w:topLinePunct w:val="0"/>
        <w:autoSpaceDE/>
        <w:autoSpaceDN/>
        <w:bidi w:val="0"/>
        <w:spacing w:line="520" w:lineRule="exact"/>
        <w:ind w:leftChars="0"/>
        <w:jc w:val="center"/>
        <w:textAlignment w:val="auto"/>
        <w:rPr>
          <w:rFonts w:hint="eastAsia" w:ascii="宋体" w:hAnsi="宋体" w:eastAsia="宋体" w:cs="宋体"/>
          <w:sz w:val="28"/>
          <w:szCs w:val="28"/>
          <w:lang w:val="en-US" w:eastAsia="zh-CN"/>
        </w:rPr>
      </w:pPr>
      <w:bookmarkStart w:id="299" w:name="_Toc30579"/>
      <w:bookmarkStart w:id="300" w:name="_Toc12091"/>
      <w:bookmarkStart w:id="301" w:name="_Toc31513"/>
      <w:bookmarkStart w:id="302" w:name="_Toc14952"/>
      <w:r>
        <w:rPr>
          <w:rFonts w:hint="eastAsia" w:ascii="宋体" w:hAnsi="宋体" w:eastAsia="宋体" w:cs="宋体"/>
          <w:sz w:val="28"/>
          <w:szCs w:val="28"/>
          <w:lang w:val="en-US" w:eastAsia="zh-CN"/>
        </w:rPr>
        <w:t>第四节 保障人民</w:t>
      </w:r>
      <w:bookmarkEnd w:id="299"/>
      <w:bookmarkEnd w:id="300"/>
      <w:r>
        <w:rPr>
          <w:rFonts w:hint="eastAsia" w:ascii="宋体" w:hAnsi="宋体" w:cs="宋体"/>
          <w:sz w:val="28"/>
          <w:szCs w:val="28"/>
          <w:lang w:val="en-US" w:eastAsia="zh-CN"/>
        </w:rPr>
        <w:t>安居乐业</w:t>
      </w:r>
      <w:bookmarkEnd w:id="301"/>
      <w:bookmarkEnd w:id="302"/>
    </w:p>
    <w:p w14:paraId="33375614">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落实安全生产责任和管理制度，实行党政同责，强化预防治本，完善预警应急机制。全面落实生产经营单位安全生产主体责任，强化安全隐患治理。大力开展企业安全生产标准化创建活动，建立安全生产诚信体系。切实抓好矿产资源在生产、运输、使用等各环节的安全监管工作，提升安全监管水平。加强消防基础设施、道路交通安全设施和队伍建设，推行“双随机、一公开”监管模式，及时排查化解安全隐患，坚决防止重特大事故发生。加大安全生产投入力度，实行安全生产配套设施与新建工程项目同步设计、同步建设、同步运营。</w:t>
      </w:r>
    </w:p>
    <w:p w14:paraId="03CA0F6F">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建立权责统一、权威高效的食品药品监管体系，加大食品药品安全行政执法装备和技术建设力度，实施科学监管、智慧监管。全面开展风险监测，监督抽检和安全评价，提升信息化监管水平，防范重大食品药品安全生产事故发生。围绕人民群众关普遍关心的突出问题，重点对餐饮、保健品、进口食品进行专项行动。严厉打击制售假冒伪劣食品药品违法犯罪行为。加强食品安全宣传与应急管理体系建设，鼓励社会公众参与监督，构建群防群控的社会共治体系。</w:t>
      </w:r>
    </w:p>
    <w:p w14:paraId="6DC55D0F">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应急队伍、应急物资的基础能力建设，重点建设白云矿区应急物资综合储备库，提高预防和处置突发事件的能力。加强消防基础设施建设和救援装备建设，提升基层救灾物资储备能力。健全自然灾害监测预警机制，加强对沙尘暴、草原火灾、病虫鼠害等灾害防治。加强防灾减灾宣传，提高全民防灾减灾意识。</w:t>
      </w:r>
    </w:p>
    <w:tbl>
      <w:tblPr>
        <w:tblStyle w:val="13"/>
        <w:tblW w:w="5416"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6"/>
      </w:tblGrid>
      <w:tr w14:paraId="11A1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trPr>
        <w:tc>
          <w:tcPr>
            <w:tcW w:w="5416" w:type="dxa"/>
            <w:tcBorders>
              <w:top w:val="single" w:color="auto" w:sz="4" w:space="0"/>
              <w:left w:val="single" w:color="auto" w:sz="4" w:space="0"/>
              <w:bottom w:val="single" w:color="auto" w:sz="4" w:space="0"/>
              <w:right w:val="single" w:color="auto" w:sz="4" w:space="0"/>
            </w:tcBorders>
            <w:noWrap/>
            <w:vAlign w:val="top"/>
          </w:tcPr>
          <w:p w14:paraId="4C6E0B9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bookmarkStart w:id="303" w:name="_Toc22857"/>
            <w:bookmarkStart w:id="304" w:name="_Toc7059"/>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18 推动应急管理建设</w:t>
            </w:r>
          </w:p>
          <w:p w14:paraId="3500D3F5">
            <w:pPr>
              <w:pStyle w:val="28"/>
              <w:pageBreakBefore w:val="0"/>
              <w:widowControl w:val="0"/>
              <w:kinsoku/>
              <w:wordWrap/>
              <w:overflowPunct/>
              <w:topLinePunct w:val="0"/>
              <w:autoSpaceDE/>
              <w:autoSpaceDN/>
              <w:bidi w:val="0"/>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白云鄂博矿区应急管理体系建设项目：</w:t>
            </w:r>
            <w:r>
              <w:rPr>
                <w:rFonts w:hint="eastAsia" w:ascii="仿宋" w:hAnsi="仿宋" w:eastAsia="仿宋" w:cs="仿宋"/>
                <w:b w:val="0"/>
                <w:bCs w:val="0"/>
                <w:sz w:val="24"/>
                <w:szCs w:val="24"/>
                <w:highlight w:val="none"/>
                <w:lang w:val="en-US" w:eastAsia="zh-CN"/>
              </w:rPr>
              <w:t>新建室外训练场地、配套建设训练塔，并购置配套器材。</w:t>
            </w:r>
          </w:p>
        </w:tc>
      </w:tr>
    </w:tbl>
    <w:p w14:paraId="26FE1346">
      <w:pPr>
        <w:pStyle w:val="4"/>
        <w:pageBreakBefore w:val="0"/>
        <w:numPr>
          <w:ilvl w:val="0"/>
          <w:numId w:val="0"/>
        </w:numPr>
        <w:tabs>
          <w:tab w:val="left" w:pos="0"/>
        </w:tabs>
        <w:kinsoku/>
        <w:wordWrap/>
        <w:overflowPunct/>
        <w:topLinePunct w:val="0"/>
        <w:autoSpaceDE/>
        <w:autoSpaceDN/>
        <w:bidi w:val="0"/>
        <w:spacing w:line="520" w:lineRule="exact"/>
        <w:ind w:leftChars="0"/>
        <w:jc w:val="center"/>
        <w:textAlignment w:val="auto"/>
        <w:rPr>
          <w:rFonts w:hint="eastAsia" w:ascii="宋体" w:hAnsi="宋体" w:eastAsia="宋体" w:cs="宋体"/>
          <w:sz w:val="28"/>
          <w:szCs w:val="28"/>
          <w:lang w:val="en-US" w:eastAsia="zh-CN"/>
        </w:rPr>
      </w:pPr>
      <w:bookmarkStart w:id="305" w:name="_Toc2302"/>
      <w:bookmarkStart w:id="306" w:name="_Toc18494"/>
      <w:r>
        <w:rPr>
          <w:rFonts w:hint="eastAsia" w:ascii="宋体" w:hAnsi="宋体" w:eastAsia="宋体" w:cs="宋体"/>
          <w:sz w:val="28"/>
          <w:szCs w:val="28"/>
          <w:lang w:val="en-US" w:eastAsia="zh-CN"/>
        </w:rPr>
        <w:t>第五节 维护社会稳定</w:t>
      </w:r>
      <w:bookmarkEnd w:id="303"/>
      <w:bookmarkEnd w:id="304"/>
      <w:bookmarkEnd w:id="305"/>
      <w:bookmarkEnd w:id="306"/>
    </w:p>
    <w:p w14:paraId="668AC1DC">
      <w:pPr>
        <w:pStyle w:val="7"/>
        <w:keepNext w:val="0"/>
        <w:keepLines w:val="0"/>
        <w:pageBreakBefore w:val="0"/>
        <w:widowControl w:val="0"/>
        <w:kinsoku/>
        <w:wordWrap/>
        <w:overflowPunct/>
        <w:topLinePunct w:val="0"/>
        <w:autoSpaceDE/>
        <w:autoSpaceDN/>
        <w:bidi w:val="0"/>
        <w:adjustRightInd w:val="0"/>
        <w:snapToGrid w:val="0"/>
        <w:spacing w:after="0" w:afterLines="0"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深化行政执法体制改革，严格规范公正文明执法，加大政务公开力度，常态化开展政策听证、评议活动。深化司法综合配套改革，提高司法公信力，维护社会公平正义。加快建设公共法律服务体系，推进公共法律服务标准化、规范化、精准化建设，畅通公民法律援助渠道。加快法治社会建设，加强法治思维培育，促进全社会尊法守法用法。</w:t>
      </w:r>
    </w:p>
    <w:p w14:paraId="148429D5">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构建现代化社会治安综合治理新格局。完善社会治安立体防控体系，保持对各类违法犯罪严打高压态势，巩固扫黑除恶、反腐专项斗争成果。全面提升社会公共安全水平，切实维护社会稳定，深化平安社会创建活动，营造全社会共创平安、共享平安的局面</w:t>
      </w:r>
      <w:bookmarkStart w:id="307" w:name="_Toc12822"/>
      <w:r>
        <w:rPr>
          <w:rFonts w:hint="eastAsia" w:ascii="仿宋" w:hAnsi="仿宋" w:eastAsia="仿宋" w:cs="仿宋"/>
          <w:snapToGrid w:val="0"/>
          <w:color w:val="auto"/>
          <w:spacing w:val="0"/>
          <w:kern w:val="0"/>
          <w:sz w:val="24"/>
          <w:szCs w:val="24"/>
          <w:lang w:val="en-US" w:eastAsia="zh-CN" w:bidi="ar-SA"/>
        </w:rPr>
        <w:t>。</w:t>
      </w:r>
    </w:p>
    <w:tbl>
      <w:tblPr>
        <w:tblStyle w:val="13"/>
        <w:tblpPr w:leftFromText="180" w:rightFromText="180" w:vertAnchor="text" w:horzAnchor="page" w:tblpX="1627" w:tblpY="590"/>
        <w:tblOverlap w:val="never"/>
        <w:tblW w:w="5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5146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460" w:type="dxa"/>
            <w:tcBorders>
              <w:top w:val="single" w:color="auto" w:sz="4" w:space="0"/>
              <w:left w:val="single" w:color="auto" w:sz="4" w:space="0"/>
              <w:bottom w:val="single" w:color="auto" w:sz="4" w:space="0"/>
              <w:right w:val="single" w:color="auto" w:sz="4" w:space="0"/>
            </w:tcBorders>
            <w:noWrap/>
            <w:vAlign w:val="top"/>
          </w:tcPr>
          <w:p w14:paraId="0792953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19 加强法治白云建设</w:t>
            </w:r>
          </w:p>
          <w:p w14:paraId="136BC404">
            <w:pPr>
              <w:pStyle w:val="28"/>
              <w:pageBreakBefore w:val="0"/>
              <w:widowControl w:val="0"/>
              <w:kinsoku/>
              <w:wordWrap/>
              <w:overflowPunct/>
              <w:topLinePunct w:val="0"/>
              <w:autoSpaceDE/>
              <w:autoSpaceDN/>
              <w:bidi w:val="0"/>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白云矿区法治宣传教育基地：</w:t>
            </w:r>
            <w:r>
              <w:rPr>
                <w:rFonts w:hint="eastAsia" w:ascii="仿宋" w:hAnsi="仿宋" w:eastAsia="仿宋" w:cs="仿宋"/>
                <w:b w:val="0"/>
                <w:bCs w:val="0"/>
                <w:sz w:val="24"/>
                <w:szCs w:val="24"/>
                <w:highlight w:val="none"/>
                <w:lang w:val="en-US" w:eastAsia="zh-CN"/>
              </w:rPr>
              <w:t>建设集青少年法治教育、政法系统警示教育、全民宪法教育、禁毒教育、反邪教等五个方面与一体的综合性法治宣传教育实践基地。</w:t>
            </w:r>
          </w:p>
        </w:tc>
      </w:tr>
    </w:tbl>
    <w:p w14:paraId="1BEE8EA5">
      <w:pPr>
        <w:pStyle w:val="24"/>
        <w:pageBreakBefore w:val="0"/>
        <w:kinsoku/>
        <w:wordWrap/>
        <w:overflowPunct/>
        <w:topLinePunct w:val="0"/>
        <w:autoSpaceDE/>
        <w:autoSpaceDN/>
        <w:bidi w:val="0"/>
        <w:spacing w:line="520" w:lineRule="exact"/>
        <w:textAlignment w:val="auto"/>
        <w:rPr>
          <w:rFonts w:hint="eastAsia" w:ascii="仿宋" w:hAnsi="仿宋" w:eastAsia="仿宋" w:cs="仿宋"/>
          <w:b w:val="0"/>
          <w:bCs/>
          <w:sz w:val="24"/>
          <w:szCs w:val="24"/>
        </w:rPr>
      </w:pPr>
    </w:p>
    <w:p w14:paraId="4053616A">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bookmarkStart w:id="308" w:name="_Toc27969"/>
      <w:bookmarkStart w:id="309" w:name="_Toc13534"/>
    </w:p>
    <w:p w14:paraId="249D2F95">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08CBF76B">
      <w:pPr>
        <w:rPr>
          <w:rFonts w:hint="eastAsia" w:ascii="Cambria" w:hAnsi="Cambria" w:eastAsia="方正黑体简体" w:cs="Times New Roman"/>
          <w:b w:val="0"/>
          <w:bCs/>
          <w:kern w:val="0"/>
          <w:sz w:val="28"/>
          <w:szCs w:val="32"/>
          <w:lang w:val="en-US" w:eastAsia="zh-CN" w:bidi="ar-SA"/>
        </w:rPr>
      </w:pPr>
    </w:p>
    <w:p w14:paraId="23EE6181">
      <w:pPr>
        <w:pStyle w:val="2"/>
        <w:outlineLvl w:val="9"/>
        <w:rPr>
          <w:rFonts w:hint="eastAsia" w:ascii="Cambria" w:hAnsi="Cambria" w:eastAsia="方正黑体简体" w:cs="Times New Roman"/>
          <w:b w:val="0"/>
          <w:bCs/>
          <w:kern w:val="0"/>
          <w:sz w:val="28"/>
          <w:szCs w:val="32"/>
          <w:lang w:val="en-US" w:eastAsia="zh-CN" w:bidi="ar-SA"/>
        </w:rPr>
      </w:pPr>
    </w:p>
    <w:p w14:paraId="3269AB39">
      <w:pPr>
        <w:rPr>
          <w:rFonts w:hint="eastAsia" w:ascii="Cambria" w:hAnsi="Cambria" w:eastAsia="方正黑体简体" w:cs="Times New Roman"/>
          <w:b w:val="0"/>
          <w:bCs/>
          <w:kern w:val="0"/>
          <w:sz w:val="28"/>
          <w:szCs w:val="32"/>
          <w:lang w:val="en-US" w:eastAsia="zh-CN" w:bidi="ar-SA"/>
        </w:rPr>
      </w:pPr>
    </w:p>
    <w:p w14:paraId="56E00F46">
      <w:pPr>
        <w:pStyle w:val="2"/>
        <w:outlineLvl w:val="9"/>
        <w:rPr>
          <w:rFonts w:hint="eastAsia"/>
          <w:lang w:val="en-US" w:eastAsia="zh-CN"/>
        </w:rPr>
      </w:pPr>
    </w:p>
    <w:p w14:paraId="5837B21F">
      <w:pPr>
        <w:pStyle w:val="3"/>
        <w:pageBreakBefore w:val="0"/>
        <w:numPr>
          <w:ilvl w:val="0"/>
          <w:numId w:val="0"/>
        </w:numPr>
        <w:kinsoku/>
        <w:wordWrap/>
        <w:overflowPunct/>
        <w:topLinePunct w:val="0"/>
        <w:autoSpaceDE/>
        <w:autoSpaceDN/>
        <w:bidi w:val="0"/>
        <w:spacing w:line="520" w:lineRule="exact"/>
        <w:ind w:leftChars="-95"/>
        <w:jc w:val="center"/>
        <w:textAlignment w:val="auto"/>
        <w:rPr>
          <w:rFonts w:hint="eastAsia" w:ascii="Cambria" w:hAnsi="Cambria" w:eastAsia="方正黑体简体" w:cs="Times New Roman"/>
          <w:b w:val="0"/>
          <w:bCs/>
          <w:kern w:val="0"/>
          <w:sz w:val="28"/>
          <w:szCs w:val="32"/>
          <w:lang w:val="en-US" w:eastAsia="zh-CN" w:bidi="ar-SA"/>
        </w:rPr>
      </w:pPr>
      <w:bookmarkStart w:id="310" w:name="_Toc27600"/>
      <w:r>
        <w:rPr>
          <w:rFonts w:hint="eastAsia" w:ascii="Cambria" w:hAnsi="Cambria" w:eastAsia="方正黑体简体" w:cs="Times New Roman"/>
          <w:b w:val="0"/>
          <w:bCs/>
          <w:kern w:val="0"/>
          <w:sz w:val="28"/>
          <w:szCs w:val="32"/>
          <w:lang w:val="en-US" w:eastAsia="zh-CN" w:bidi="ar-SA"/>
        </w:rPr>
        <w:t xml:space="preserve">第十三章 </w:t>
      </w:r>
      <w:bookmarkEnd w:id="307"/>
      <w:r>
        <w:rPr>
          <w:rFonts w:hint="eastAsia" w:ascii="Cambria" w:hAnsi="Cambria" w:eastAsia="方正黑体简体" w:cs="Times New Roman"/>
          <w:b w:val="0"/>
          <w:bCs/>
          <w:kern w:val="0"/>
          <w:sz w:val="28"/>
          <w:szCs w:val="32"/>
          <w:lang w:val="en-US" w:eastAsia="zh-CN" w:bidi="ar-SA"/>
        </w:rPr>
        <w:t>加强党的全面领导</w:t>
      </w:r>
      <w:bookmarkEnd w:id="308"/>
      <w:bookmarkStart w:id="311" w:name="_Toc10621"/>
      <w:bookmarkStart w:id="312" w:name="_Toc11081"/>
      <w:r>
        <w:rPr>
          <w:rFonts w:hint="eastAsia" w:ascii="Cambria" w:hAnsi="Cambria" w:eastAsia="方正黑体简体" w:cs="Times New Roman"/>
          <w:b w:val="0"/>
          <w:bCs/>
          <w:kern w:val="0"/>
          <w:sz w:val="28"/>
          <w:szCs w:val="32"/>
          <w:lang w:val="en-US" w:eastAsia="zh-CN" w:bidi="ar-SA"/>
        </w:rPr>
        <w:t xml:space="preserve"> </w:t>
      </w:r>
      <w:bookmarkEnd w:id="311"/>
      <w:bookmarkEnd w:id="312"/>
      <w:r>
        <w:rPr>
          <w:rFonts w:hint="eastAsia" w:ascii="Cambria" w:hAnsi="Cambria" w:eastAsia="方正黑体简体" w:cs="Times New Roman"/>
          <w:b w:val="0"/>
          <w:bCs/>
          <w:kern w:val="0"/>
          <w:sz w:val="28"/>
          <w:szCs w:val="32"/>
          <w:lang w:val="en-US" w:eastAsia="zh-CN" w:bidi="ar-SA"/>
        </w:rPr>
        <w:t>确保规划如期实施</w:t>
      </w:r>
      <w:bookmarkEnd w:id="309"/>
      <w:bookmarkEnd w:id="310"/>
    </w:p>
    <w:p w14:paraId="5742C626">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726D55F1">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bookmarkStart w:id="313" w:name="_Toc29732"/>
      <w:r>
        <w:rPr>
          <w:rFonts w:hint="eastAsia" w:ascii="仿宋" w:hAnsi="仿宋" w:eastAsia="仿宋" w:cs="仿宋"/>
          <w:snapToGrid w:val="0"/>
          <w:color w:val="auto"/>
          <w:spacing w:val="0"/>
          <w:kern w:val="0"/>
          <w:sz w:val="24"/>
          <w:szCs w:val="24"/>
          <w:lang w:val="en-US" w:eastAsia="zh-CN" w:bidi="ar-SA"/>
        </w:rPr>
        <w:t>实现“十四五”规划和二〇三五年远景目标，必须坚持和加强党的全面领导，解放思想、更新观念，拓宽视野、提升境界、奋发进取，形成推动国民经济高质量发展的强大合力。</w:t>
      </w:r>
    </w:p>
    <w:p w14:paraId="78EFF061">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314" w:name="_Toc11659"/>
      <w:bookmarkStart w:id="315" w:name="_Toc12902"/>
      <w:bookmarkStart w:id="316" w:name="_Toc772"/>
      <w:r>
        <w:rPr>
          <w:rFonts w:hint="eastAsia" w:ascii="宋体" w:hAnsi="宋体" w:eastAsia="宋体" w:cs="宋体"/>
          <w:sz w:val="28"/>
          <w:szCs w:val="28"/>
        </w:rPr>
        <w:t xml:space="preserve">第一节  </w:t>
      </w:r>
      <w:bookmarkEnd w:id="313"/>
      <w:r>
        <w:rPr>
          <w:rFonts w:hint="eastAsia" w:ascii="宋体" w:hAnsi="宋体" w:cs="宋体"/>
          <w:sz w:val="28"/>
          <w:szCs w:val="28"/>
          <w:lang w:eastAsia="zh-CN"/>
        </w:rPr>
        <w:t>加强</w:t>
      </w:r>
      <w:r>
        <w:rPr>
          <w:rFonts w:hint="eastAsia" w:ascii="宋体" w:hAnsi="宋体" w:eastAsia="宋体" w:cs="宋体"/>
          <w:sz w:val="28"/>
          <w:szCs w:val="28"/>
        </w:rPr>
        <w:t>党</w:t>
      </w:r>
      <w:r>
        <w:rPr>
          <w:rFonts w:hint="eastAsia" w:ascii="宋体" w:hAnsi="宋体" w:cs="宋体"/>
          <w:sz w:val="28"/>
          <w:szCs w:val="28"/>
          <w:lang w:eastAsia="zh-CN"/>
        </w:rPr>
        <w:t>的统一</w:t>
      </w:r>
      <w:r>
        <w:rPr>
          <w:rFonts w:hint="eastAsia" w:ascii="宋体" w:hAnsi="宋体" w:eastAsia="宋体" w:cs="宋体"/>
          <w:sz w:val="28"/>
          <w:szCs w:val="28"/>
        </w:rPr>
        <w:t>领导</w:t>
      </w:r>
      <w:bookmarkEnd w:id="314"/>
      <w:bookmarkEnd w:id="315"/>
      <w:bookmarkEnd w:id="316"/>
    </w:p>
    <w:p w14:paraId="3F7A1C92">
      <w:pPr>
        <w:pStyle w:val="7"/>
        <w:keepNext w:val="0"/>
        <w:keepLines w:val="0"/>
        <w:pageBreakBefore w:val="0"/>
        <w:widowControl w:val="0"/>
        <w:kinsoku/>
        <w:wordWrap/>
        <w:overflowPunct/>
        <w:topLinePunct w:val="0"/>
        <w:autoSpaceDE/>
        <w:autoSpaceDN/>
        <w:bidi w:val="0"/>
        <w:adjustRightInd w:val="0"/>
        <w:snapToGrid w:val="0"/>
        <w:spacing w:after="0" w:afterLines="0"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bookmarkStart w:id="317" w:name="_Toc20458"/>
      <w:r>
        <w:rPr>
          <w:rFonts w:hint="eastAsia" w:ascii="仿宋" w:hAnsi="仿宋" w:eastAsia="仿宋" w:cs="仿宋"/>
          <w:snapToGrid w:val="0"/>
          <w:color w:val="auto"/>
          <w:spacing w:val="0"/>
          <w:kern w:val="0"/>
          <w:sz w:val="24"/>
          <w:szCs w:val="24"/>
          <w:lang w:val="en-US" w:eastAsia="zh-CN" w:bidi="ar-SA"/>
        </w:rPr>
        <w:t>坚持习近平新时代中国特色社会主义思想，贯彻落实习近平总书记对内蒙古重要讲话重要指示批示精神，确保在思想上、政治上、行动上同党中央保持高度一致，不折不扣贯彻落实党中央、自治区党委和包头市委部署要求。认真落实主体责任、监督责任，构建一体化高效协同管理机制，形成上下贯通、执行有力的组织体系，确保“十四五”顺利实施。</w:t>
      </w:r>
    </w:p>
    <w:bookmarkEnd w:id="260"/>
    <w:bookmarkEnd w:id="317"/>
    <w:p w14:paraId="584ED3FC">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318" w:name="_Toc2595"/>
      <w:bookmarkStart w:id="319" w:name="_Toc6445"/>
      <w:bookmarkStart w:id="320" w:name="_Toc15035"/>
      <w:r>
        <w:rPr>
          <w:rFonts w:hint="eastAsia" w:ascii="宋体" w:hAnsi="宋体" w:eastAsia="宋体" w:cs="宋体"/>
          <w:sz w:val="28"/>
          <w:szCs w:val="28"/>
          <w:lang w:eastAsia="zh-CN"/>
        </w:rPr>
        <w:t>第二节</w:t>
      </w:r>
      <w:r>
        <w:rPr>
          <w:rFonts w:hint="eastAsia" w:ascii="宋体" w:hAnsi="宋体" w:eastAsia="宋体" w:cs="宋体"/>
          <w:sz w:val="28"/>
          <w:szCs w:val="28"/>
          <w:lang w:val="en-US" w:eastAsia="zh-CN"/>
        </w:rPr>
        <w:t xml:space="preserve"> </w:t>
      </w:r>
      <w:bookmarkStart w:id="321" w:name="_Toc60148206"/>
      <w:bookmarkStart w:id="322" w:name="_Toc5116"/>
      <w:bookmarkStart w:id="323" w:name="_Toc63556640"/>
      <w:r>
        <w:rPr>
          <w:rFonts w:hint="eastAsia" w:ascii="宋体" w:hAnsi="宋体" w:cs="宋体"/>
          <w:sz w:val="28"/>
          <w:szCs w:val="28"/>
          <w:lang w:val="en-US" w:eastAsia="zh-CN"/>
        </w:rPr>
        <w:t>加强</w:t>
      </w:r>
      <w:r>
        <w:rPr>
          <w:rFonts w:hint="eastAsia" w:ascii="宋体" w:hAnsi="宋体" w:eastAsia="宋体" w:cs="宋体"/>
          <w:sz w:val="28"/>
          <w:szCs w:val="28"/>
          <w:lang w:val="en-US" w:eastAsia="zh-CN"/>
        </w:rPr>
        <w:t>考核评估监督</w:t>
      </w:r>
      <w:bookmarkEnd w:id="318"/>
      <w:bookmarkEnd w:id="319"/>
      <w:bookmarkEnd w:id="320"/>
      <w:bookmarkEnd w:id="321"/>
      <w:bookmarkEnd w:id="322"/>
      <w:bookmarkEnd w:id="323"/>
    </w:p>
    <w:p w14:paraId="57D09E78">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实行严格的责任考核制度，把规划明确的主要目标和重点任务列入各部门领导班子的考核范围，考核结果作为领导班子调整和领导干部选拔任用、奖励惩戒的重要依据。自觉接受区人大对规划实施情况的监督，完善规划实施的公众参与和社会监督机制，形成全社会关心规划、自觉参与和监督规划实施的良好氛围。</w:t>
      </w:r>
    </w:p>
    <w:p w14:paraId="6882D8A2">
      <w:pPr>
        <w:pStyle w:val="4"/>
        <w:spacing w:line="360" w:lineRule="auto"/>
        <w:jc w:val="center"/>
        <w:rPr>
          <w:rFonts w:hint="eastAsia" w:ascii="宋体" w:hAnsi="宋体" w:eastAsia="宋体" w:cs="宋体"/>
          <w:sz w:val="28"/>
          <w:szCs w:val="28"/>
        </w:rPr>
      </w:pPr>
      <w:bookmarkStart w:id="324" w:name="_Toc10550"/>
      <w:bookmarkStart w:id="325" w:name="_Toc2425"/>
      <w:bookmarkStart w:id="326" w:name="_Toc24276"/>
      <w:r>
        <w:rPr>
          <w:rFonts w:hint="eastAsia" w:ascii="宋体" w:hAnsi="宋体" w:eastAsia="宋体" w:cs="宋体"/>
          <w:sz w:val="28"/>
          <w:szCs w:val="28"/>
        </w:rPr>
        <w:t>第</w:t>
      </w:r>
      <w:r>
        <w:rPr>
          <w:rFonts w:hint="eastAsia" w:ascii="宋体" w:hAnsi="宋体" w:eastAsia="宋体" w:cs="宋体"/>
          <w:sz w:val="28"/>
          <w:szCs w:val="28"/>
          <w:lang w:eastAsia="zh-CN"/>
        </w:rPr>
        <w:t>三</w:t>
      </w:r>
      <w:r>
        <w:rPr>
          <w:rFonts w:hint="eastAsia" w:ascii="宋体" w:hAnsi="宋体" w:eastAsia="宋体" w:cs="宋体"/>
          <w:sz w:val="28"/>
          <w:szCs w:val="28"/>
        </w:rPr>
        <w:t>节 强化规划分工落实</w:t>
      </w:r>
      <w:bookmarkEnd w:id="324"/>
      <w:bookmarkEnd w:id="325"/>
      <w:bookmarkEnd w:id="326"/>
    </w:p>
    <w:p w14:paraId="1DBCFB71">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约束性指标衔接，确保各级规划在总体要求上指向一致、空间配置上相互协调、时序安排上科学有序。明确牵头单位和工作责任，加大绩效考核力度。要按照本规划明确的目标和任务，明确年度目标、工作指标和推进措施。依据项目重要性进行分类排序，抓好重点领域项目的研究、储备、论证、调度和建设，完善重大项目库，实行动态管理、滚动推进。优先推进重大项目，加强项目资金保障，统筹、规范、透明财政资金使用，提高政府投资的引导力和带动力，鼓励社会加大投资。</w:t>
      </w:r>
    </w:p>
    <w:sectPr>
      <w:footerReference r:id="rId7" w:type="default"/>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A2C82F-DE55-4A97-8A2E-A62A9CD1BF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7940669C-B0CB-4779-B805-FF576710865B}"/>
  </w:font>
  <w:font w:name="仿宋">
    <w:panose1 w:val="02010609060101010101"/>
    <w:charset w:val="86"/>
    <w:family w:val="auto"/>
    <w:pitch w:val="default"/>
    <w:sig w:usb0="800002BF" w:usb1="38CF7CFA" w:usb2="00000016" w:usb3="00000000" w:csb0="00040001" w:csb1="00000000"/>
    <w:embedRegular r:id="rId3" w:fontKey="{F808C3B8-0320-4D77-A623-935394CDC175}"/>
  </w:font>
  <w:font w:name="方正小标宋简体">
    <w:panose1 w:val="02000000000000000000"/>
    <w:charset w:val="86"/>
    <w:family w:val="auto"/>
    <w:pitch w:val="default"/>
    <w:sig w:usb0="00000001" w:usb1="08000000" w:usb2="00000000" w:usb3="00000000" w:csb0="00040000" w:csb1="00000000"/>
    <w:embedRegular r:id="rId4" w:fontKey="{65D67EBE-3DDC-4D0E-AFC2-D2D02CA8EA28}"/>
  </w:font>
  <w:font w:name="楷体_GB2312">
    <w:altName w:val="楷体"/>
    <w:panose1 w:val="02010609030101010101"/>
    <w:charset w:val="86"/>
    <w:family w:val="modern"/>
    <w:pitch w:val="default"/>
    <w:sig w:usb0="00000000" w:usb1="00000000" w:usb2="00000000" w:usb3="00000000" w:csb0="00040000" w:csb1="00000000"/>
    <w:embedRegular r:id="rId5" w:fontKey="{5EFC0475-DADC-4C25-B1AE-3A00E7BF863B}"/>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19F" w:csb1="00000000"/>
    <w:embedRegular r:id="rId6" w:fontKey="{EE7517AF-181C-4C36-A3D4-9B18BB6F9825}"/>
  </w:font>
  <w:font w:name="方正黑体简体">
    <w:altName w:val="微软雅黑"/>
    <w:panose1 w:val="02010601030101010101"/>
    <w:charset w:val="86"/>
    <w:family w:val="auto"/>
    <w:pitch w:val="default"/>
    <w:sig w:usb0="00000000" w:usb1="00000000" w:usb2="00000000" w:usb3="00000000" w:csb0="00040000" w:csb1="00000000"/>
    <w:embedRegular r:id="rId7" w:fontKey="{58F2E5D2-6E30-461F-9386-3D0E1163441D}"/>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3000509000000000000"/>
    <w:charset w:val="86"/>
    <w:family w:val="auto"/>
    <w:pitch w:val="default"/>
    <w:sig w:usb0="00000000" w:usb1="00000000" w:usb2="00000000" w:usb3="00000000" w:csb0="00040000" w:csb1="00000000"/>
    <w:embedRegular r:id="rId8" w:fontKey="{2A569911-9E3C-45C6-8BFB-3238F5CA9C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56C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02E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028BF">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551F">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EB1A">
    <w:pPr>
      <w:pStyle w:val="8"/>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2" name="文本框 1"/>
              <wp:cNvGraphicFramePr/>
              <a:graphic xmlns:a="http://schemas.openxmlformats.org/drawingml/2006/main">
                <a:graphicData uri="http://schemas.microsoft.com/office/word/2010/wordprocessingShape">
                  <wps:wsp>
                    <wps:cNvSpPr/>
                    <wps:spPr>
                      <a:xfrm>
                        <a:off x="0" y="0"/>
                        <a:ext cx="115900" cy="139674"/>
                      </a:xfrm>
                      <a:prstGeom prst="rect">
                        <a:avLst/>
                      </a:prstGeom>
                      <a:noFill/>
                      <a:ln w="6350" cap="flat" cmpd="sng">
                        <a:noFill/>
                        <a:prstDash val="solid"/>
                        <a:round/>
                      </a:ln>
                    </wps:spPr>
                    <wps:txbx>
                      <w:txbxContent>
                        <w:p w14:paraId="60C0CA1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5VB+tYAAAADAQAADwAAAAAAAAABACAAAAAiAAAAZHJzL2Rv&#10;d25yZXYueG1sUEsBAhQAFAAAAAgAh07iQJ0hfjwDAgAA9QMAAA4AAAAAAAAAAQAgAAAAJQEAAGRy&#10;cy9lMm9Eb2MueG1sUEsFBgAAAAAGAAYAWQEAAJoFAAAAAA==&#10;">
              <v:fill on="f" focussize="0,0"/>
              <v:stroke on="f" weight="0.5pt" joinstyle="round"/>
              <v:imagedata o:title=""/>
              <o:lock v:ext="edit" aspectratio="f"/>
              <v:textbox inset="0mm,0mm,0mm,0mm" style="mso-fit-shape-to-text:t;">
                <w:txbxContent>
                  <w:p w14:paraId="60C0CA1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724E6"/>
    <w:multiLevelType w:val="singleLevel"/>
    <w:tmpl w:val="8FE724E6"/>
    <w:lvl w:ilvl="0" w:tentative="0">
      <w:start w:val="1"/>
      <w:numFmt w:val="chineseCounting"/>
      <w:suff w:val="space"/>
      <w:lvlText w:val="第%1节"/>
      <w:lvlJc w:val="left"/>
      <w:pPr>
        <w:tabs>
          <w:tab w:val="left" w:pos="0"/>
        </w:tabs>
        <w:ind w:left="0" w:firstLine="0"/>
      </w:pPr>
      <w:rPr>
        <w:rFonts w:hint="eastAsia"/>
      </w:rPr>
    </w:lvl>
  </w:abstractNum>
  <w:abstractNum w:abstractNumId="1">
    <w:nsid w:val="AA427235"/>
    <w:multiLevelType w:val="singleLevel"/>
    <w:tmpl w:val="AA427235"/>
    <w:lvl w:ilvl="0" w:tentative="0">
      <w:start w:val="1"/>
      <w:numFmt w:val="chineseCounting"/>
      <w:suff w:val="space"/>
      <w:lvlText w:val="第%1章"/>
      <w:lvlJc w:val="left"/>
      <w:rPr>
        <w:rFonts w:hint="eastAsia"/>
      </w:rPr>
    </w:lvl>
  </w:abstractNum>
  <w:abstractNum w:abstractNumId="2">
    <w:nsid w:val="E59E39C0"/>
    <w:multiLevelType w:val="singleLevel"/>
    <w:tmpl w:val="E59E39C0"/>
    <w:lvl w:ilvl="0" w:tentative="0">
      <w:start w:val="1"/>
      <w:numFmt w:val="chineseCounting"/>
      <w:suff w:val="space"/>
      <w:lvlText w:val="第%1节"/>
      <w:lvlJc w:val="left"/>
      <w:pPr>
        <w:tabs>
          <w:tab w:val="left" w:pos="0"/>
        </w:tabs>
        <w:ind w:left="0" w:firstLine="0"/>
      </w:pPr>
      <w:rPr>
        <w:rFonts w:hint="eastAsia"/>
      </w:rPr>
    </w:lvl>
  </w:abstractNum>
  <w:abstractNum w:abstractNumId="3">
    <w:nsid w:val="E8BCAB13"/>
    <w:multiLevelType w:val="singleLevel"/>
    <w:tmpl w:val="E8BCAB13"/>
    <w:lvl w:ilvl="0" w:tentative="0">
      <w:start w:val="5"/>
      <w:numFmt w:val="chineseCounting"/>
      <w:suff w:val="space"/>
      <w:lvlText w:val="第%1节"/>
      <w:lvlJc w:val="left"/>
      <w:rPr>
        <w:rFonts w:hint="eastAsia"/>
      </w:rPr>
    </w:lvl>
  </w:abstractNum>
  <w:abstractNum w:abstractNumId="4">
    <w:nsid w:val="F262C279"/>
    <w:multiLevelType w:val="singleLevel"/>
    <w:tmpl w:val="F262C279"/>
    <w:lvl w:ilvl="0" w:tentative="0">
      <w:start w:val="4"/>
      <w:numFmt w:val="chineseCounting"/>
      <w:suff w:val="space"/>
      <w:lvlText w:val="第%1章"/>
      <w:lvlJc w:val="left"/>
      <w:rPr>
        <w:rFonts w:hint="eastAsia"/>
      </w:rPr>
    </w:lvl>
  </w:abstractNum>
  <w:abstractNum w:abstractNumId="5">
    <w:nsid w:val="FCE74F34"/>
    <w:multiLevelType w:val="singleLevel"/>
    <w:tmpl w:val="FCE74F34"/>
    <w:lvl w:ilvl="0" w:tentative="0">
      <w:start w:val="1"/>
      <w:numFmt w:val="chineseCounting"/>
      <w:suff w:val="space"/>
      <w:lvlText w:val="第%1节"/>
      <w:lvlJc w:val="left"/>
      <w:pPr>
        <w:tabs>
          <w:tab w:val="left" w:pos="0"/>
        </w:tabs>
        <w:ind w:left="0" w:firstLine="0"/>
      </w:pPr>
      <w:rPr>
        <w:rFonts w:hint="eastAsia"/>
      </w:rPr>
    </w:lvl>
  </w:abstractNum>
  <w:abstractNum w:abstractNumId="6">
    <w:nsid w:val="0A498B0A"/>
    <w:multiLevelType w:val="singleLevel"/>
    <w:tmpl w:val="0A498B0A"/>
    <w:lvl w:ilvl="0" w:tentative="0">
      <w:start w:val="1"/>
      <w:numFmt w:val="chineseCounting"/>
      <w:suff w:val="space"/>
      <w:lvlText w:val="第%1节"/>
      <w:lvlJc w:val="left"/>
      <w:pPr>
        <w:tabs>
          <w:tab w:val="left" w:pos="0"/>
        </w:tabs>
        <w:ind w:left="0" w:firstLine="0"/>
      </w:pPr>
      <w:rPr>
        <w:rFonts w:hint="eastAsia"/>
      </w:r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鹿">
    <w15:presenceInfo w15:providerId="WPS Office" w15:userId="4232424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MjliNTM0YWUyNjY2NzQyNTNiZGEyZWQ2NDMxYTRkZWMifQ=="/>
  </w:docVars>
  <w:rsids>
    <w:rsidRoot w:val="00172A27"/>
    <w:rsid w:val="00384CDA"/>
    <w:rsid w:val="007008BF"/>
    <w:rsid w:val="008647FD"/>
    <w:rsid w:val="00967163"/>
    <w:rsid w:val="00996740"/>
    <w:rsid w:val="009F5E6B"/>
    <w:rsid w:val="00A02971"/>
    <w:rsid w:val="00A720E1"/>
    <w:rsid w:val="00AB59F1"/>
    <w:rsid w:val="00B978D0"/>
    <w:rsid w:val="00CC0105"/>
    <w:rsid w:val="00DD1916"/>
    <w:rsid w:val="00F57710"/>
    <w:rsid w:val="012603E6"/>
    <w:rsid w:val="013033A1"/>
    <w:rsid w:val="014D4A8B"/>
    <w:rsid w:val="0181396A"/>
    <w:rsid w:val="019F66A0"/>
    <w:rsid w:val="01A70CCB"/>
    <w:rsid w:val="01B1078B"/>
    <w:rsid w:val="01B43C3F"/>
    <w:rsid w:val="01BD7B06"/>
    <w:rsid w:val="01CA6F87"/>
    <w:rsid w:val="01D4119B"/>
    <w:rsid w:val="02110707"/>
    <w:rsid w:val="02262BC1"/>
    <w:rsid w:val="025317FE"/>
    <w:rsid w:val="026E0943"/>
    <w:rsid w:val="027B26FD"/>
    <w:rsid w:val="029562D6"/>
    <w:rsid w:val="02B7160A"/>
    <w:rsid w:val="02B96A30"/>
    <w:rsid w:val="02D00B50"/>
    <w:rsid w:val="02F65C46"/>
    <w:rsid w:val="03007431"/>
    <w:rsid w:val="0307302A"/>
    <w:rsid w:val="03231D22"/>
    <w:rsid w:val="032B5D42"/>
    <w:rsid w:val="033D5354"/>
    <w:rsid w:val="03517A73"/>
    <w:rsid w:val="035C7B38"/>
    <w:rsid w:val="03623CDA"/>
    <w:rsid w:val="03661653"/>
    <w:rsid w:val="037701C7"/>
    <w:rsid w:val="039822CA"/>
    <w:rsid w:val="039848D3"/>
    <w:rsid w:val="03AC554C"/>
    <w:rsid w:val="03B019FA"/>
    <w:rsid w:val="03B85667"/>
    <w:rsid w:val="03F7289A"/>
    <w:rsid w:val="040C2885"/>
    <w:rsid w:val="04204180"/>
    <w:rsid w:val="042F5C80"/>
    <w:rsid w:val="043124C0"/>
    <w:rsid w:val="046E379A"/>
    <w:rsid w:val="048903F3"/>
    <w:rsid w:val="04A72E33"/>
    <w:rsid w:val="04D22918"/>
    <w:rsid w:val="04D44F88"/>
    <w:rsid w:val="04E84383"/>
    <w:rsid w:val="04F27965"/>
    <w:rsid w:val="05041F39"/>
    <w:rsid w:val="050D196E"/>
    <w:rsid w:val="053506E2"/>
    <w:rsid w:val="055152F8"/>
    <w:rsid w:val="056515F5"/>
    <w:rsid w:val="056E2A1E"/>
    <w:rsid w:val="05897563"/>
    <w:rsid w:val="05A02B11"/>
    <w:rsid w:val="05D915A5"/>
    <w:rsid w:val="05DE03D0"/>
    <w:rsid w:val="05E77DA1"/>
    <w:rsid w:val="05F86F27"/>
    <w:rsid w:val="05F96393"/>
    <w:rsid w:val="060E1792"/>
    <w:rsid w:val="062B754E"/>
    <w:rsid w:val="06413E71"/>
    <w:rsid w:val="06577177"/>
    <w:rsid w:val="066A4EB0"/>
    <w:rsid w:val="066C4805"/>
    <w:rsid w:val="06761932"/>
    <w:rsid w:val="06953A12"/>
    <w:rsid w:val="06A71AB8"/>
    <w:rsid w:val="06AC57DF"/>
    <w:rsid w:val="06CD2A33"/>
    <w:rsid w:val="06F0746C"/>
    <w:rsid w:val="06F5043F"/>
    <w:rsid w:val="07053D2E"/>
    <w:rsid w:val="071E4D72"/>
    <w:rsid w:val="07312233"/>
    <w:rsid w:val="073B3143"/>
    <w:rsid w:val="073E3FAD"/>
    <w:rsid w:val="074E29B2"/>
    <w:rsid w:val="0758766B"/>
    <w:rsid w:val="075A58F4"/>
    <w:rsid w:val="077034EF"/>
    <w:rsid w:val="07934723"/>
    <w:rsid w:val="07A67A1E"/>
    <w:rsid w:val="0806289E"/>
    <w:rsid w:val="084A6934"/>
    <w:rsid w:val="089959D3"/>
    <w:rsid w:val="08B95470"/>
    <w:rsid w:val="0900462B"/>
    <w:rsid w:val="090727CC"/>
    <w:rsid w:val="09644374"/>
    <w:rsid w:val="0981528B"/>
    <w:rsid w:val="099D38A0"/>
    <w:rsid w:val="09AF034E"/>
    <w:rsid w:val="09DB4D06"/>
    <w:rsid w:val="09E95D47"/>
    <w:rsid w:val="0A0B03B3"/>
    <w:rsid w:val="0A130AE4"/>
    <w:rsid w:val="0A587C12"/>
    <w:rsid w:val="0AB21F01"/>
    <w:rsid w:val="0AB31101"/>
    <w:rsid w:val="0AB6522A"/>
    <w:rsid w:val="0AC610E5"/>
    <w:rsid w:val="0AF019CB"/>
    <w:rsid w:val="0B0223A8"/>
    <w:rsid w:val="0B0A4090"/>
    <w:rsid w:val="0B0E38B6"/>
    <w:rsid w:val="0B2B71F9"/>
    <w:rsid w:val="0B3E3267"/>
    <w:rsid w:val="0B62463C"/>
    <w:rsid w:val="0B624818"/>
    <w:rsid w:val="0B716386"/>
    <w:rsid w:val="0B726233"/>
    <w:rsid w:val="0BCD33CF"/>
    <w:rsid w:val="0BDC6263"/>
    <w:rsid w:val="0BF64D6D"/>
    <w:rsid w:val="0C196ABB"/>
    <w:rsid w:val="0C1E4E44"/>
    <w:rsid w:val="0C3037D8"/>
    <w:rsid w:val="0C464423"/>
    <w:rsid w:val="0C8729C4"/>
    <w:rsid w:val="0CA33685"/>
    <w:rsid w:val="0CE978AA"/>
    <w:rsid w:val="0D201A13"/>
    <w:rsid w:val="0D3761D3"/>
    <w:rsid w:val="0D3B1CBE"/>
    <w:rsid w:val="0D49079F"/>
    <w:rsid w:val="0D504597"/>
    <w:rsid w:val="0D555913"/>
    <w:rsid w:val="0D642196"/>
    <w:rsid w:val="0DA130EC"/>
    <w:rsid w:val="0DA255D4"/>
    <w:rsid w:val="0DBD43DC"/>
    <w:rsid w:val="0DDF2A6A"/>
    <w:rsid w:val="0DED3242"/>
    <w:rsid w:val="0E07317A"/>
    <w:rsid w:val="0E265638"/>
    <w:rsid w:val="0E3512A7"/>
    <w:rsid w:val="0E434AFF"/>
    <w:rsid w:val="0E525878"/>
    <w:rsid w:val="0EB769FD"/>
    <w:rsid w:val="0ECA07C8"/>
    <w:rsid w:val="0EED3898"/>
    <w:rsid w:val="0F037FD9"/>
    <w:rsid w:val="0F0D7DE2"/>
    <w:rsid w:val="0F0F372B"/>
    <w:rsid w:val="0F150E15"/>
    <w:rsid w:val="0F327394"/>
    <w:rsid w:val="0F422411"/>
    <w:rsid w:val="0F4818BC"/>
    <w:rsid w:val="0F541A35"/>
    <w:rsid w:val="0F8528DA"/>
    <w:rsid w:val="0F8D7DE9"/>
    <w:rsid w:val="0FA272BD"/>
    <w:rsid w:val="0FB40AD9"/>
    <w:rsid w:val="0FB45896"/>
    <w:rsid w:val="0FB63AC3"/>
    <w:rsid w:val="0FC26943"/>
    <w:rsid w:val="0FCB4E35"/>
    <w:rsid w:val="0FD76A59"/>
    <w:rsid w:val="100A55C7"/>
    <w:rsid w:val="101B5FA9"/>
    <w:rsid w:val="10366986"/>
    <w:rsid w:val="10A10F71"/>
    <w:rsid w:val="10B17518"/>
    <w:rsid w:val="10CA66BC"/>
    <w:rsid w:val="10CB45CB"/>
    <w:rsid w:val="10F32DDE"/>
    <w:rsid w:val="10F33470"/>
    <w:rsid w:val="10F55FC7"/>
    <w:rsid w:val="110F0C91"/>
    <w:rsid w:val="11473630"/>
    <w:rsid w:val="11694CA1"/>
    <w:rsid w:val="117E34D5"/>
    <w:rsid w:val="117E7CB3"/>
    <w:rsid w:val="119935C3"/>
    <w:rsid w:val="11D2012A"/>
    <w:rsid w:val="11DF6C4D"/>
    <w:rsid w:val="11FB6A18"/>
    <w:rsid w:val="12056508"/>
    <w:rsid w:val="120F1D60"/>
    <w:rsid w:val="121E4EAF"/>
    <w:rsid w:val="123E2A49"/>
    <w:rsid w:val="12491428"/>
    <w:rsid w:val="12AC6D11"/>
    <w:rsid w:val="12BC6FA8"/>
    <w:rsid w:val="12C7365C"/>
    <w:rsid w:val="12C75927"/>
    <w:rsid w:val="1309319F"/>
    <w:rsid w:val="13346287"/>
    <w:rsid w:val="134975C7"/>
    <w:rsid w:val="136261F5"/>
    <w:rsid w:val="136826F0"/>
    <w:rsid w:val="136E2A25"/>
    <w:rsid w:val="13AB65D7"/>
    <w:rsid w:val="13C363C4"/>
    <w:rsid w:val="13C818FE"/>
    <w:rsid w:val="13D31FC5"/>
    <w:rsid w:val="13D339D4"/>
    <w:rsid w:val="14691064"/>
    <w:rsid w:val="146C4C55"/>
    <w:rsid w:val="14816F41"/>
    <w:rsid w:val="14914215"/>
    <w:rsid w:val="14914E23"/>
    <w:rsid w:val="14AE67EE"/>
    <w:rsid w:val="14B15332"/>
    <w:rsid w:val="14B54CD8"/>
    <w:rsid w:val="14C50EB4"/>
    <w:rsid w:val="14C51C89"/>
    <w:rsid w:val="14F42A03"/>
    <w:rsid w:val="14F45A34"/>
    <w:rsid w:val="151040DC"/>
    <w:rsid w:val="151923CE"/>
    <w:rsid w:val="152E7057"/>
    <w:rsid w:val="15380191"/>
    <w:rsid w:val="154E000E"/>
    <w:rsid w:val="15526A39"/>
    <w:rsid w:val="156D4EF7"/>
    <w:rsid w:val="157A3F3C"/>
    <w:rsid w:val="15C3338C"/>
    <w:rsid w:val="15DF7A28"/>
    <w:rsid w:val="15F854FC"/>
    <w:rsid w:val="15FA5A46"/>
    <w:rsid w:val="160F7B59"/>
    <w:rsid w:val="162958B5"/>
    <w:rsid w:val="162D62CE"/>
    <w:rsid w:val="16414353"/>
    <w:rsid w:val="16B24C84"/>
    <w:rsid w:val="16BF13DB"/>
    <w:rsid w:val="16DD3069"/>
    <w:rsid w:val="16E91617"/>
    <w:rsid w:val="17170179"/>
    <w:rsid w:val="172750AD"/>
    <w:rsid w:val="17CE0564"/>
    <w:rsid w:val="17F75505"/>
    <w:rsid w:val="18197963"/>
    <w:rsid w:val="184602CD"/>
    <w:rsid w:val="1846763A"/>
    <w:rsid w:val="184A412E"/>
    <w:rsid w:val="187D53EA"/>
    <w:rsid w:val="189C6118"/>
    <w:rsid w:val="18A12681"/>
    <w:rsid w:val="18C25E6D"/>
    <w:rsid w:val="18C46C98"/>
    <w:rsid w:val="18EC57D5"/>
    <w:rsid w:val="18F672FF"/>
    <w:rsid w:val="19012C86"/>
    <w:rsid w:val="19057B05"/>
    <w:rsid w:val="191E360E"/>
    <w:rsid w:val="193157FD"/>
    <w:rsid w:val="1958771A"/>
    <w:rsid w:val="19690228"/>
    <w:rsid w:val="196D55DE"/>
    <w:rsid w:val="197C1833"/>
    <w:rsid w:val="19910477"/>
    <w:rsid w:val="19B47282"/>
    <w:rsid w:val="19D100AE"/>
    <w:rsid w:val="19FA7F7D"/>
    <w:rsid w:val="1A027276"/>
    <w:rsid w:val="1A0A0DC6"/>
    <w:rsid w:val="1A484858"/>
    <w:rsid w:val="1A5B0F26"/>
    <w:rsid w:val="1A6A172E"/>
    <w:rsid w:val="1A7651A1"/>
    <w:rsid w:val="1AA41A51"/>
    <w:rsid w:val="1AB12364"/>
    <w:rsid w:val="1ABD1EEF"/>
    <w:rsid w:val="1ADA3765"/>
    <w:rsid w:val="1B0F66CE"/>
    <w:rsid w:val="1B245A72"/>
    <w:rsid w:val="1B494244"/>
    <w:rsid w:val="1B740560"/>
    <w:rsid w:val="1B8313C5"/>
    <w:rsid w:val="1BA1353B"/>
    <w:rsid w:val="1BAD11E2"/>
    <w:rsid w:val="1BB03B24"/>
    <w:rsid w:val="1BB85ADE"/>
    <w:rsid w:val="1BC80BB2"/>
    <w:rsid w:val="1C1839C4"/>
    <w:rsid w:val="1C66544F"/>
    <w:rsid w:val="1C6F261F"/>
    <w:rsid w:val="1C8130BF"/>
    <w:rsid w:val="1CD125E4"/>
    <w:rsid w:val="1CEA5F5E"/>
    <w:rsid w:val="1D0835EA"/>
    <w:rsid w:val="1D0B7468"/>
    <w:rsid w:val="1D1933D5"/>
    <w:rsid w:val="1D1B49F3"/>
    <w:rsid w:val="1D55133C"/>
    <w:rsid w:val="1D607DC8"/>
    <w:rsid w:val="1D6910F5"/>
    <w:rsid w:val="1DAD3CC2"/>
    <w:rsid w:val="1DB26E77"/>
    <w:rsid w:val="1DC02B4D"/>
    <w:rsid w:val="1DC2080B"/>
    <w:rsid w:val="1DC60BEB"/>
    <w:rsid w:val="1E0F64D3"/>
    <w:rsid w:val="1E3F4F05"/>
    <w:rsid w:val="1E4465E5"/>
    <w:rsid w:val="1E683BC3"/>
    <w:rsid w:val="1E7110D5"/>
    <w:rsid w:val="1E8A32B7"/>
    <w:rsid w:val="1E906E38"/>
    <w:rsid w:val="1E9215E4"/>
    <w:rsid w:val="1E987F3C"/>
    <w:rsid w:val="1ED66A13"/>
    <w:rsid w:val="1EE4605D"/>
    <w:rsid w:val="1EFD3122"/>
    <w:rsid w:val="1F0631C1"/>
    <w:rsid w:val="1F0803EF"/>
    <w:rsid w:val="1F215564"/>
    <w:rsid w:val="1FB90C64"/>
    <w:rsid w:val="20224A21"/>
    <w:rsid w:val="204602C2"/>
    <w:rsid w:val="204749BC"/>
    <w:rsid w:val="20515011"/>
    <w:rsid w:val="206116E9"/>
    <w:rsid w:val="20637F2D"/>
    <w:rsid w:val="207B506B"/>
    <w:rsid w:val="209655B5"/>
    <w:rsid w:val="20D237BF"/>
    <w:rsid w:val="20E342D3"/>
    <w:rsid w:val="20F101CD"/>
    <w:rsid w:val="20FD59B9"/>
    <w:rsid w:val="20FE21D3"/>
    <w:rsid w:val="21201137"/>
    <w:rsid w:val="21386C10"/>
    <w:rsid w:val="217328D3"/>
    <w:rsid w:val="217B59BE"/>
    <w:rsid w:val="21B73451"/>
    <w:rsid w:val="21D747C1"/>
    <w:rsid w:val="21E61CE6"/>
    <w:rsid w:val="22061CAD"/>
    <w:rsid w:val="2208640A"/>
    <w:rsid w:val="222112A4"/>
    <w:rsid w:val="22272B90"/>
    <w:rsid w:val="22374BDB"/>
    <w:rsid w:val="223C2CB5"/>
    <w:rsid w:val="224E084B"/>
    <w:rsid w:val="224E5556"/>
    <w:rsid w:val="225B1AC3"/>
    <w:rsid w:val="22910477"/>
    <w:rsid w:val="22D42C69"/>
    <w:rsid w:val="22F91E73"/>
    <w:rsid w:val="233025B5"/>
    <w:rsid w:val="23344E74"/>
    <w:rsid w:val="237E6749"/>
    <w:rsid w:val="23886474"/>
    <w:rsid w:val="23AB0CC8"/>
    <w:rsid w:val="23B6768D"/>
    <w:rsid w:val="23B933F3"/>
    <w:rsid w:val="23C16C4D"/>
    <w:rsid w:val="23EB5B16"/>
    <w:rsid w:val="23F85687"/>
    <w:rsid w:val="24232353"/>
    <w:rsid w:val="24477B77"/>
    <w:rsid w:val="246A0179"/>
    <w:rsid w:val="24707799"/>
    <w:rsid w:val="247C1C6F"/>
    <w:rsid w:val="248B1082"/>
    <w:rsid w:val="248B4700"/>
    <w:rsid w:val="24AA17CE"/>
    <w:rsid w:val="24D20A5F"/>
    <w:rsid w:val="24E24F53"/>
    <w:rsid w:val="24EB6896"/>
    <w:rsid w:val="24F05D6E"/>
    <w:rsid w:val="25173ABB"/>
    <w:rsid w:val="251A398A"/>
    <w:rsid w:val="25454F24"/>
    <w:rsid w:val="2547695C"/>
    <w:rsid w:val="255779F3"/>
    <w:rsid w:val="256F3C05"/>
    <w:rsid w:val="25777336"/>
    <w:rsid w:val="257A6BF3"/>
    <w:rsid w:val="25921BA0"/>
    <w:rsid w:val="25A25F8D"/>
    <w:rsid w:val="25B44BF7"/>
    <w:rsid w:val="25DA2E4B"/>
    <w:rsid w:val="262212CF"/>
    <w:rsid w:val="264A1C30"/>
    <w:rsid w:val="266D1133"/>
    <w:rsid w:val="268A085E"/>
    <w:rsid w:val="26986C9C"/>
    <w:rsid w:val="26DF5DA6"/>
    <w:rsid w:val="26EA0D4B"/>
    <w:rsid w:val="26FD1628"/>
    <w:rsid w:val="27144831"/>
    <w:rsid w:val="27421320"/>
    <w:rsid w:val="274A7466"/>
    <w:rsid w:val="27632901"/>
    <w:rsid w:val="27B915E1"/>
    <w:rsid w:val="27C135D4"/>
    <w:rsid w:val="281C2218"/>
    <w:rsid w:val="285E1954"/>
    <w:rsid w:val="28713873"/>
    <w:rsid w:val="289B65A3"/>
    <w:rsid w:val="28A53887"/>
    <w:rsid w:val="28AD73BF"/>
    <w:rsid w:val="28BD171D"/>
    <w:rsid w:val="292B20FA"/>
    <w:rsid w:val="293823CB"/>
    <w:rsid w:val="29386956"/>
    <w:rsid w:val="294A4A50"/>
    <w:rsid w:val="296028E3"/>
    <w:rsid w:val="29631C30"/>
    <w:rsid w:val="296A19CB"/>
    <w:rsid w:val="298B72D5"/>
    <w:rsid w:val="299F3418"/>
    <w:rsid w:val="29C554CA"/>
    <w:rsid w:val="29F2172F"/>
    <w:rsid w:val="2A021641"/>
    <w:rsid w:val="2A0E7DCB"/>
    <w:rsid w:val="2A536CF2"/>
    <w:rsid w:val="2A5F2B4E"/>
    <w:rsid w:val="2A6D18B6"/>
    <w:rsid w:val="2A795C9E"/>
    <w:rsid w:val="2AA57DD4"/>
    <w:rsid w:val="2AD23A3A"/>
    <w:rsid w:val="2AE07DAB"/>
    <w:rsid w:val="2AF17BD4"/>
    <w:rsid w:val="2B2966B0"/>
    <w:rsid w:val="2B3B104E"/>
    <w:rsid w:val="2B5D07EE"/>
    <w:rsid w:val="2B891652"/>
    <w:rsid w:val="2B992A1A"/>
    <w:rsid w:val="2BB4334B"/>
    <w:rsid w:val="2BC1633A"/>
    <w:rsid w:val="2BC91EB9"/>
    <w:rsid w:val="2BCA0B9A"/>
    <w:rsid w:val="2BCF1CD0"/>
    <w:rsid w:val="2BE76E96"/>
    <w:rsid w:val="2C2D6C07"/>
    <w:rsid w:val="2C384597"/>
    <w:rsid w:val="2C39432A"/>
    <w:rsid w:val="2C550A31"/>
    <w:rsid w:val="2C62386E"/>
    <w:rsid w:val="2C6D65D9"/>
    <w:rsid w:val="2CA404E0"/>
    <w:rsid w:val="2CB74731"/>
    <w:rsid w:val="2CC53607"/>
    <w:rsid w:val="2D020A78"/>
    <w:rsid w:val="2D060B8C"/>
    <w:rsid w:val="2D0E133C"/>
    <w:rsid w:val="2D3850C3"/>
    <w:rsid w:val="2D447B64"/>
    <w:rsid w:val="2D5F1863"/>
    <w:rsid w:val="2D9F2291"/>
    <w:rsid w:val="2DB17693"/>
    <w:rsid w:val="2DB552CF"/>
    <w:rsid w:val="2DEA6792"/>
    <w:rsid w:val="2DEB3A7F"/>
    <w:rsid w:val="2DF82EB5"/>
    <w:rsid w:val="2DFB5053"/>
    <w:rsid w:val="2E1A4D94"/>
    <w:rsid w:val="2E256AF9"/>
    <w:rsid w:val="2E503F07"/>
    <w:rsid w:val="2E6A1A7D"/>
    <w:rsid w:val="2E6A320D"/>
    <w:rsid w:val="2E6C4A25"/>
    <w:rsid w:val="2E7340C4"/>
    <w:rsid w:val="2ECB3573"/>
    <w:rsid w:val="2ED26715"/>
    <w:rsid w:val="2ED52B3E"/>
    <w:rsid w:val="2EF67318"/>
    <w:rsid w:val="2F0733BF"/>
    <w:rsid w:val="2F081B7F"/>
    <w:rsid w:val="2F770E8D"/>
    <w:rsid w:val="2F8307F8"/>
    <w:rsid w:val="2F9F6673"/>
    <w:rsid w:val="2FCB7AE0"/>
    <w:rsid w:val="2FCC5623"/>
    <w:rsid w:val="300F76F0"/>
    <w:rsid w:val="301633B0"/>
    <w:rsid w:val="301A2CC8"/>
    <w:rsid w:val="30493748"/>
    <w:rsid w:val="30591F7E"/>
    <w:rsid w:val="306913FF"/>
    <w:rsid w:val="306E136F"/>
    <w:rsid w:val="307C0D2D"/>
    <w:rsid w:val="307F552C"/>
    <w:rsid w:val="308A42F5"/>
    <w:rsid w:val="30F43F7D"/>
    <w:rsid w:val="3107025A"/>
    <w:rsid w:val="311046A0"/>
    <w:rsid w:val="31227949"/>
    <w:rsid w:val="312971E0"/>
    <w:rsid w:val="312A3B44"/>
    <w:rsid w:val="312F05D2"/>
    <w:rsid w:val="31362CCD"/>
    <w:rsid w:val="316274A3"/>
    <w:rsid w:val="31854550"/>
    <w:rsid w:val="318702BE"/>
    <w:rsid w:val="318F6E96"/>
    <w:rsid w:val="32CD7382"/>
    <w:rsid w:val="32CE2EDE"/>
    <w:rsid w:val="32EB67CB"/>
    <w:rsid w:val="32FC44DE"/>
    <w:rsid w:val="330B0B2B"/>
    <w:rsid w:val="33114E57"/>
    <w:rsid w:val="33187787"/>
    <w:rsid w:val="331F2C3F"/>
    <w:rsid w:val="335476AF"/>
    <w:rsid w:val="33754A82"/>
    <w:rsid w:val="337F639F"/>
    <w:rsid w:val="338D75D8"/>
    <w:rsid w:val="339579BB"/>
    <w:rsid w:val="33C22447"/>
    <w:rsid w:val="34155863"/>
    <w:rsid w:val="34217480"/>
    <w:rsid w:val="34441ACD"/>
    <w:rsid w:val="346A4508"/>
    <w:rsid w:val="347C15D1"/>
    <w:rsid w:val="34A15FCE"/>
    <w:rsid w:val="34C56645"/>
    <w:rsid w:val="34C86E18"/>
    <w:rsid w:val="34CD040E"/>
    <w:rsid w:val="34E01206"/>
    <w:rsid w:val="34F17004"/>
    <w:rsid w:val="34F249E5"/>
    <w:rsid w:val="35284DFD"/>
    <w:rsid w:val="353B4A02"/>
    <w:rsid w:val="357B5D3E"/>
    <w:rsid w:val="35A07898"/>
    <w:rsid w:val="35AF191D"/>
    <w:rsid w:val="35BF0A88"/>
    <w:rsid w:val="35BF3334"/>
    <w:rsid w:val="35C95158"/>
    <w:rsid w:val="35D92AE1"/>
    <w:rsid w:val="35F109BD"/>
    <w:rsid w:val="35F1389E"/>
    <w:rsid w:val="360C6311"/>
    <w:rsid w:val="361719EA"/>
    <w:rsid w:val="36313DE6"/>
    <w:rsid w:val="367D792F"/>
    <w:rsid w:val="367F68F7"/>
    <w:rsid w:val="36C5696F"/>
    <w:rsid w:val="36E72BB1"/>
    <w:rsid w:val="36E9460C"/>
    <w:rsid w:val="370F3C59"/>
    <w:rsid w:val="37284A99"/>
    <w:rsid w:val="37403D61"/>
    <w:rsid w:val="3747118E"/>
    <w:rsid w:val="374C3E94"/>
    <w:rsid w:val="374F41F9"/>
    <w:rsid w:val="376D7AC9"/>
    <w:rsid w:val="37817B4E"/>
    <w:rsid w:val="379A6491"/>
    <w:rsid w:val="37B43B8E"/>
    <w:rsid w:val="37CE5802"/>
    <w:rsid w:val="37DA63B8"/>
    <w:rsid w:val="38086FC0"/>
    <w:rsid w:val="3810507A"/>
    <w:rsid w:val="38752F43"/>
    <w:rsid w:val="388139C4"/>
    <w:rsid w:val="38A30C29"/>
    <w:rsid w:val="38BB6B7E"/>
    <w:rsid w:val="38C96A6E"/>
    <w:rsid w:val="38E10D44"/>
    <w:rsid w:val="38E83D36"/>
    <w:rsid w:val="38EA0F72"/>
    <w:rsid w:val="38EB7A63"/>
    <w:rsid w:val="390F3AAE"/>
    <w:rsid w:val="39475C99"/>
    <w:rsid w:val="397F402D"/>
    <w:rsid w:val="39837589"/>
    <w:rsid w:val="39B15AC0"/>
    <w:rsid w:val="39C2473A"/>
    <w:rsid w:val="3A014FA6"/>
    <w:rsid w:val="3A0D430A"/>
    <w:rsid w:val="3A1D0081"/>
    <w:rsid w:val="3A271726"/>
    <w:rsid w:val="3A431D75"/>
    <w:rsid w:val="3A640EB0"/>
    <w:rsid w:val="3A710F9F"/>
    <w:rsid w:val="3AAD1B05"/>
    <w:rsid w:val="3AB37A8B"/>
    <w:rsid w:val="3AC943B2"/>
    <w:rsid w:val="3AD01B43"/>
    <w:rsid w:val="3ADE090E"/>
    <w:rsid w:val="3AF4523D"/>
    <w:rsid w:val="3B105994"/>
    <w:rsid w:val="3B5A5F9C"/>
    <w:rsid w:val="3B5D6867"/>
    <w:rsid w:val="3B76613A"/>
    <w:rsid w:val="3B8464DA"/>
    <w:rsid w:val="3B8B706D"/>
    <w:rsid w:val="3BA142FD"/>
    <w:rsid w:val="3BDE480A"/>
    <w:rsid w:val="3BE20CAF"/>
    <w:rsid w:val="3C2D383E"/>
    <w:rsid w:val="3C550468"/>
    <w:rsid w:val="3C56021F"/>
    <w:rsid w:val="3C592D49"/>
    <w:rsid w:val="3C7338D4"/>
    <w:rsid w:val="3C740502"/>
    <w:rsid w:val="3C834E40"/>
    <w:rsid w:val="3C8429C6"/>
    <w:rsid w:val="3C8C3A0C"/>
    <w:rsid w:val="3C900D51"/>
    <w:rsid w:val="3C927918"/>
    <w:rsid w:val="3CB21F73"/>
    <w:rsid w:val="3CBE4A01"/>
    <w:rsid w:val="3CC66F71"/>
    <w:rsid w:val="3CEC63C6"/>
    <w:rsid w:val="3CFD744F"/>
    <w:rsid w:val="3D0432A6"/>
    <w:rsid w:val="3D2674D6"/>
    <w:rsid w:val="3DA7098D"/>
    <w:rsid w:val="3DD668AE"/>
    <w:rsid w:val="3DD8172C"/>
    <w:rsid w:val="3DE35EB8"/>
    <w:rsid w:val="3DED1BE9"/>
    <w:rsid w:val="3DFA17FA"/>
    <w:rsid w:val="3E1A7CBC"/>
    <w:rsid w:val="3E3F2340"/>
    <w:rsid w:val="3E6123AA"/>
    <w:rsid w:val="3EA30AD5"/>
    <w:rsid w:val="3EED0588"/>
    <w:rsid w:val="3EF30F60"/>
    <w:rsid w:val="3F0953EB"/>
    <w:rsid w:val="3F183F2F"/>
    <w:rsid w:val="3F326E4D"/>
    <w:rsid w:val="3F3A231D"/>
    <w:rsid w:val="3F4C0F1E"/>
    <w:rsid w:val="3FB4227F"/>
    <w:rsid w:val="3FC73820"/>
    <w:rsid w:val="3FF10789"/>
    <w:rsid w:val="3FF6348F"/>
    <w:rsid w:val="404B241E"/>
    <w:rsid w:val="4063484A"/>
    <w:rsid w:val="406951A7"/>
    <w:rsid w:val="40A16303"/>
    <w:rsid w:val="40B54344"/>
    <w:rsid w:val="40B56761"/>
    <w:rsid w:val="40D40E33"/>
    <w:rsid w:val="41084253"/>
    <w:rsid w:val="41745761"/>
    <w:rsid w:val="41762620"/>
    <w:rsid w:val="41B77A19"/>
    <w:rsid w:val="41D1510F"/>
    <w:rsid w:val="41F16CF5"/>
    <w:rsid w:val="41F63B87"/>
    <w:rsid w:val="420D1EF2"/>
    <w:rsid w:val="42325251"/>
    <w:rsid w:val="423D6D48"/>
    <w:rsid w:val="42C42987"/>
    <w:rsid w:val="42C658D0"/>
    <w:rsid w:val="42C72145"/>
    <w:rsid w:val="42E60542"/>
    <w:rsid w:val="42EE5F90"/>
    <w:rsid w:val="431E7C31"/>
    <w:rsid w:val="432E1E79"/>
    <w:rsid w:val="43344A5D"/>
    <w:rsid w:val="435A651F"/>
    <w:rsid w:val="43604A07"/>
    <w:rsid w:val="43832E92"/>
    <w:rsid w:val="43930F46"/>
    <w:rsid w:val="4396795D"/>
    <w:rsid w:val="44194539"/>
    <w:rsid w:val="44240AF8"/>
    <w:rsid w:val="443379CA"/>
    <w:rsid w:val="44532DCC"/>
    <w:rsid w:val="44765939"/>
    <w:rsid w:val="44910875"/>
    <w:rsid w:val="45086987"/>
    <w:rsid w:val="45164EF0"/>
    <w:rsid w:val="451C4814"/>
    <w:rsid w:val="453636E5"/>
    <w:rsid w:val="454B69D0"/>
    <w:rsid w:val="455F4A12"/>
    <w:rsid w:val="45936E1D"/>
    <w:rsid w:val="45BE05C0"/>
    <w:rsid w:val="45CC1C70"/>
    <w:rsid w:val="45E1093C"/>
    <w:rsid w:val="45FB46D4"/>
    <w:rsid w:val="4602055F"/>
    <w:rsid w:val="46020723"/>
    <w:rsid w:val="464A2BCA"/>
    <w:rsid w:val="46552ED6"/>
    <w:rsid w:val="46820274"/>
    <w:rsid w:val="46D6603D"/>
    <w:rsid w:val="471A1FA5"/>
    <w:rsid w:val="472E237E"/>
    <w:rsid w:val="4742406E"/>
    <w:rsid w:val="47475D89"/>
    <w:rsid w:val="476E1360"/>
    <w:rsid w:val="47720D4B"/>
    <w:rsid w:val="47794345"/>
    <w:rsid w:val="47957538"/>
    <w:rsid w:val="47AF2A39"/>
    <w:rsid w:val="47FD72AE"/>
    <w:rsid w:val="480C29E5"/>
    <w:rsid w:val="484600C1"/>
    <w:rsid w:val="48501F22"/>
    <w:rsid w:val="4851188F"/>
    <w:rsid w:val="48657715"/>
    <w:rsid w:val="488E4A37"/>
    <w:rsid w:val="48AC0945"/>
    <w:rsid w:val="48B22C65"/>
    <w:rsid w:val="48C7280C"/>
    <w:rsid w:val="48CA50A0"/>
    <w:rsid w:val="48E5362C"/>
    <w:rsid w:val="48FA1FBB"/>
    <w:rsid w:val="49083F75"/>
    <w:rsid w:val="493F4EB0"/>
    <w:rsid w:val="494D549D"/>
    <w:rsid w:val="494E1F42"/>
    <w:rsid w:val="49601CB6"/>
    <w:rsid w:val="49614963"/>
    <w:rsid w:val="497E7F89"/>
    <w:rsid w:val="498B7150"/>
    <w:rsid w:val="4993183D"/>
    <w:rsid w:val="49E20A24"/>
    <w:rsid w:val="49F14CAE"/>
    <w:rsid w:val="49F5250C"/>
    <w:rsid w:val="4A521012"/>
    <w:rsid w:val="4A543DA3"/>
    <w:rsid w:val="4A636D16"/>
    <w:rsid w:val="4AA2512F"/>
    <w:rsid w:val="4AC9335A"/>
    <w:rsid w:val="4AC9394B"/>
    <w:rsid w:val="4AFF54FB"/>
    <w:rsid w:val="4B122C0D"/>
    <w:rsid w:val="4B414DA3"/>
    <w:rsid w:val="4B59563B"/>
    <w:rsid w:val="4B646084"/>
    <w:rsid w:val="4B6563B5"/>
    <w:rsid w:val="4BA10975"/>
    <w:rsid w:val="4BA33DAE"/>
    <w:rsid w:val="4BDE5C9A"/>
    <w:rsid w:val="4BE60443"/>
    <w:rsid w:val="4BF8747A"/>
    <w:rsid w:val="4C1C19B6"/>
    <w:rsid w:val="4C4B5176"/>
    <w:rsid w:val="4C530C2D"/>
    <w:rsid w:val="4C5965E1"/>
    <w:rsid w:val="4C977B45"/>
    <w:rsid w:val="4CA93719"/>
    <w:rsid w:val="4CCE0897"/>
    <w:rsid w:val="4CEA4457"/>
    <w:rsid w:val="4D031919"/>
    <w:rsid w:val="4D0538C4"/>
    <w:rsid w:val="4D0B60D1"/>
    <w:rsid w:val="4D43261B"/>
    <w:rsid w:val="4D4B1D3B"/>
    <w:rsid w:val="4D71640D"/>
    <w:rsid w:val="4D7D4CEE"/>
    <w:rsid w:val="4DA67FD7"/>
    <w:rsid w:val="4DDE72D1"/>
    <w:rsid w:val="4DF259EE"/>
    <w:rsid w:val="4E0E040A"/>
    <w:rsid w:val="4E0F2D73"/>
    <w:rsid w:val="4E165FCC"/>
    <w:rsid w:val="4E466687"/>
    <w:rsid w:val="4E563686"/>
    <w:rsid w:val="4E62701C"/>
    <w:rsid w:val="4E724075"/>
    <w:rsid w:val="4E72564C"/>
    <w:rsid w:val="4E9F5CC9"/>
    <w:rsid w:val="4EBC53F3"/>
    <w:rsid w:val="4EBD6287"/>
    <w:rsid w:val="4F08630E"/>
    <w:rsid w:val="4F345E12"/>
    <w:rsid w:val="4F762D42"/>
    <w:rsid w:val="4FB13677"/>
    <w:rsid w:val="4FD14503"/>
    <w:rsid w:val="4FD8551C"/>
    <w:rsid w:val="502B3561"/>
    <w:rsid w:val="50357B4D"/>
    <w:rsid w:val="504D0DF4"/>
    <w:rsid w:val="50811F45"/>
    <w:rsid w:val="508402CE"/>
    <w:rsid w:val="508829E0"/>
    <w:rsid w:val="50D0185F"/>
    <w:rsid w:val="50E35F1D"/>
    <w:rsid w:val="50EC0A29"/>
    <w:rsid w:val="50F23B01"/>
    <w:rsid w:val="51017497"/>
    <w:rsid w:val="51667123"/>
    <w:rsid w:val="51A17EAE"/>
    <w:rsid w:val="51A870CC"/>
    <w:rsid w:val="51AD0D6E"/>
    <w:rsid w:val="51F84CF8"/>
    <w:rsid w:val="522B167D"/>
    <w:rsid w:val="52363FDD"/>
    <w:rsid w:val="525B57FF"/>
    <w:rsid w:val="52736A00"/>
    <w:rsid w:val="527A554C"/>
    <w:rsid w:val="52A141BC"/>
    <w:rsid w:val="52B460B8"/>
    <w:rsid w:val="531F020A"/>
    <w:rsid w:val="531F17E2"/>
    <w:rsid w:val="53211313"/>
    <w:rsid w:val="5351589A"/>
    <w:rsid w:val="535814D8"/>
    <w:rsid w:val="535A183A"/>
    <w:rsid w:val="536D1074"/>
    <w:rsid w:val="53781275"/>
    <w:rsid w:val="538636C6"/>
    <w:rsid w:val="538D37D1"/>
    <w:rsid w:val="5393127D"/>
    <w:rsid w:val="5393627F"/>
    <w:rsid w:val="53A64E3A"/>
    <w:rsid w:val="53E57917"/>
    <w:rsid w:val="53E94539"/>
    <w:rsid w:val="53ED39BB"/>
    <w:rsid w:val="53F40A79"/>
    <w:rsid w:val="54397C3B"/>
    <w:rsid w:val="544E45A5"/>
    <w:rsid w:val="54690327"/>
    <w:rsid w:val="54AC43E5"/>
    <w:rsid w:val="54B37B50"/>
    <w:rsid w:val="54B9012C"/>
    <w:rsid w:val="54BD2F8E"/>
    <w:rsid w:val="54C91A66"/>
    <w:rsid w:val="54DF156F"/>
    <w:rsid w:val="54F14453"/>
    <w:rsid w:val="54F85F42"/>
    <w:rsid w:val="551124EC"/>
    <w:rsid w:val="552C784E"/>
    <w:rsid w:val="555757BC"/>
    <w:rsid w:val="555822C8"/>
    <w:rsid w:val="555B51D9"/>
    <w:rsid w:val="556275AB"/>
    <w:rsid w:val="55657C92"/>
    <w:rsid w:val="557B39A9"/>
    <w:rsid w:val="55840530"/>
    <w:rsid w:val="558C17D9"/>
    <w:rsid w:val="559A078F"/>
    <w:rsid w:val="559B7A1C"/>
    <w:rsid w:val="55A10608"/>
    <w:rsid w:val="55A625AC"/>
    <w:rsid w:val="55A91459"/>
    <w:rsid w:val="55BE086F"/>
    <w:rsid w:val="55C4400A"/>
    <w:rsid w:val="55FE193C"/>
    <w:rsid w:val="560B2FF4"/>
    <w:rsid w:val="5625073F"/>
    <w:rsid w:val="562A15ED"/>
    <w:rsid w:val="564C7E71"/>
    <w:rsid w:val="564E7DDA"/>
    <w:rsid w:val="565A3FE9"/>
    <w:rsid w:val="56671D17"/>
    <w:rsid w:val="56701227"/>
    <w:rsid w:val="56964410"/>
    <w:rsid w:val="56A51B9E"/>
    <w:rsid w:val="56E14EC1"/>
    <w:rsid w:val="56F7340E"/>
    <w:rsid w:val="570C7B5E"/>
    <w:rsid w:val="574E2912"/>
    <w:rsid w:val="5757046C"/>
    <w:rsid w:val="575C3C46"/>
    <w:rsid w:val="57700915"/>
    <w:rsid w:val="57AA5F5B"/>
    <w:rsid w:val="57DD09DA"/>
    <w:rsid w:val="580245BB"/>
    <w:rsid w:val="58212854"/>
    <w:rsid w:val="58245B47"/>
    <w:rsid w:val="582B324A"/>
    <w:rsid w:val="58321D68"/>
    <w:rsid w:val="583922DB"/>
    <w:rsid w:val="586C13AF"/>
    <w:rsid w:val="587E218B"/>
    <w:rsid w:val="58830165"/>
    <w:rsid w:val="58BE4001"/>
    <w:rsid w:val="58C4145B"/>
    <w:rsid w:val="58E522F7"/>
    <w:rsid w:val="58E52F70"/>
    <w:rsid w:val="58E6245E"/>
    <w:rsid w:val="58E70C30"/>
    <w:rsid w:val="58EE6D28"/>
    <w:rsid w:val="590109FB"/>
    <w:rsid w:val="59092C57"/>
    <w:rsid w:val="59341DF1"/>
    <w:rsid w:val="596A2F7E"/>
    <w:rsid w:val="597D3030"/>
    <w:rsid w:val="599821C6"/>
    <w:rsid w:val="59AC781D"/>
    <w:rsid w:val="59AD3B35"/>
    <w:rsid w:val="59BA0F6E"/>
    <w:rsid w:val="59CE30B6"/>
    <w:rsid w:val="5A05422C"/>
    <w:rsid w:val="5A0F1E01"/>
    <w:rsid w:val="5A166311"/>
    <w:rsid w:val="5A8D0983"/>
    <w:rsid w:val="5A950B7F"/>
    <w:rsid w:val="5A9800C3"/>
    <w:rsid w:val="5ADA28DA"/>
    <w:rsid w:val="5ADC3EF9"/>
    <w:rsid w:val="5AF02AE2"/>
    <w:rsid w:val="5B17354D"/>
    <w:rsid w:val="5B5817A9"/>
    <w:rsid w:val="5BBB1D11"/>
    <w:rsid w:val="5BBE78F5"/>
    <w:rsid w:val="5BC01516"/>
    <w:rsid w:val="5BD23571"/>
    <w:rsid w:val="5C09072B"/>
    <w:rsid w:val="5C0B28E9"/>
    <w:rsid w:val="5C0B3E0C"/>
    <w:rsid w:val="5C4445D1"/>
    <w:rsid w:val="5C466250"/>
    <w:rsid w:val="5C6B6539"/>
    <w:rsid w:val="5C7D2F72"/>
    <w:rsid w:val="5CA81744"/>
    <w:rsid w:val="5CCC7AD3"/>
    <w:rsid w:val="5CCF4ACB"/>
    <w:rsid w:val="5CD75FEE"/>
    <w:rsid w:val="5CEC52F2"/>
    <w:rsid w:val="5D14353B"/>
    <w:rsid w:val="5D2E77D9"/>
    <w:rsid w:val="5D5D256E"/>
    <w:rsid w:val="5D6D002A"/>
    <w:rsid w:val="5D8C1941"/>
    <w:rsid w:val="5DB571A2"/>
    <w:rsid w:val="5DCC7A60"/>
    <w:rsid w:val="5DD73CF9"/>
    <w:rsid w:val="5DE92EB0"/>
    <w:rsid w:val="5DEA6045"/>
    <w:rsid w:val="5E0730D2"/>
    <w:rsid w:val="5E075AC0"/>
    <w:rsid w:val="5E1D5171"/>
    <w:rsid w:val="5E63151D"/>
    <w:rsid w:val="5E733BC4"/>
    <w:rsid w:val="5E815F0E"/>
    <w:rsid w:val="5E834C36"/>
    <w:rsid w:val="5E872A95"/>
    <w:rsid w:val="5E931F15"/>
    <w:rsid w:val="5E9424D4"/>
    <w:rsid w:val="5EB90C87"/>
    <w:rsid w:val="5EEC0230"/>
    <w:rsid w:val="5EFE526A"/>
    <w:rsid w:val="5F0D7946"/>
    <w:rsid w:val="5F2C6569"/>
    <w:rsid w:val="5F2F3933"/>
    <w:rsid w:val="5F342DAE"/>
    <w:rsid w:val="5F4429FE"/>
    <w:rsid w:val="5F686F82"/>
    <w:rsid w:val="5F6E476E"/>
    <w:rsid w:val="5FAA37AF"/>
    <w:rsid w:val="5FB0045C"/>
    <w:rsid w:val="5FE14FE8"/>
    <w:rsid w:val="600C6D67"/>
    <w:rsid w:val="607427D9"/>
    <w:rsid w:val="60CF15D0"/>
    <w:rsid w:val="60D3344F"/>
    <w:rsid w:val="60EE6908"/>
    <w:rsid w:val="610D2961"/>
    <w:rsid w:val="61A95BB2"/>
    <w:rsid w:val="61BF41F3"/>
    <w:rsid w:val="61CE380B"/>
    <w:rsid w:val="61D27953"/>
    <w:rsid w:val="62130C32"/>
    <w:rsid w:val="621830DD"/>
    <w:rsid w:val="62281455"/>
    <w:rsid w:val="62286957"/>
    <w:rsid w:val="626D481D"/>
    <w:rsid w:val="62924B34"/>
    <w:rsid w:val="62D5531A"/>
    <w:rsid w:val="631773E8"/>
    <w:rsid w:val="63195F7F"/>
    <w:rsid w:val="63416692"/>
    <w:rsid w:val="635E11EF"/>
    <w:rsid w:val="63B54CBD"/>
    <w:rsid w:val="63BF71F4"/>
    <w:rsid w:val="63E3276F"/>
    <w:rsid w:val="63F15AC0"/>
    <w:rsid w:val="640A01F0"/>
    <w:rsid w:val="640C0D53"/>
    <w:rsid w:val="641516E0"/>
    <w:rsid w:val="641B0224"/>
    <w:rsid w:val="641D463D"/>
    <w:rsid w:val="64233838"/>
    <w:rsid w:val="646E6CBA"/>
    <w:rsid w:val="6478210D"/>
    <w:rsid w:val="64937782"/>
    <w:rsid w:val="64985D16"/>
    <w:rsid w:val="64A231EA"/>
    <w:rsid w:val="64D67745"/>
    <w:rsid w:val="64E63D6A"/>
    <w:rsid w:val="64EA7495"/>
    <w:rsid w:val="64ED2E44"/>
    <w:rsid w:val="64F33767"/>
    <w:rsid w:val="653A0272"/>
    <w:rsid w:val="658773A7"/>
    <w:rsid w:val="659B0254"/>
    <w:rsid w:val="65A90094"/>
    <w:rsid w:val="65EB2AE0"/>
    <w:rsid w:val="65FB5CC6"/>
    <w:rsid w:val="66182265"/>
    <w:rsid w:val="663E28E8"/>
    <w:rsid w:val="663E5A8E"/>
    <w:rsid w:val="66467A32"/>
    <w:rsid w:val="664C72CF"/>
    <w:rsid w:val="66570CB1"/>
    <w:rsid w:val="666F15CA"/>
    <w:rsid w:val="66906EFD"/>
    <w:rsid w:val="66952C46"/>
    <w:rsid w:val="66BD5549"/>
    <w:rsid w:val="66C61635"/>
    <w:rsid w:val="66D01C98"/>
    <w:rsid w:val="66F25C16"/>
    <w:rsid w:val="670C0DA8"/>
    <w:rsid w:val="67832C0A"/>
    <w:rsid w:val="67A2436D"/>
    <w:rsid w:val="67D64BA8"/>
    <w:rsid w:val="67E6548A"/>
    <w:rsid w:val="68045696"/>
    <w:rsid w:val="68261A2D"/>
    <w:rsid w:val="68374B81"/>
    <w:rsid w:val="684F776E"/>
    <w:rsid w:val="685E6E3E"/>
    <w:rsid w:val="68621DA0"/>
    <w:rsid w:val="68647CE7"/>
    <w:rsid w:val="68836A6F"/>
    <w:rsid w:val="689956FB"/>
    <w:rsid w:val="689F66BE"/>
    <w:rsid w:val="68B846A5"/>
    <w:rsid w:val="68DE0BD4"/>
    <w:rsid w:val="68F428D2"/>
    <w:rsid w:val="69041C33"/>
    <w:rsid w:val="69102633"/>
    <w:rsid w:val="691E355A"/>
    <w:rsid w:val="69604D80"/>
    <w:rsid w:val="697C13F9"/>
    <w:rsid w:val="699A0E2C"/>
    <w:rsid w:val="69A15607"/>
    <w:rsid w:val="69B86D8B"/>
    <w:rsid w:val="69BB5473"/>
    <w:rsid w:val="69BF44AB"/>
    <w:rsid w:val="69E955FF"/>
    <w:rsid w:val="6A1A7027"/>
    <w:rsid w:val="6A73089C"/>
    <w:rsid w:val="6A7F3DEE"/>
    <w:rsid w:val="6A801024"/>
    <w:rsid w:val="6A877B78"/>
    <w:rsid w:val="6A8C640A"/>
    <w:rsid w:val="6A900121"/>
    <w:rsid w:val="6A95361C"/>
    <w:rsid w:val="6AA970AA"/>
    <w:rsid w:val="6AAF3F7E"/>
    <w:rsid w:val="6AB9482D"/>
    <w:rsid w:val="6AD1555E"/>
    <w:rsid w:val="6AE94FB4"/>
    <w:rsid w:val="6AEB4584"/>
    <w:rsid w:val="6B233338"/>
    <w:rsid w:val="6B243ACF"/>
    <w:rsid w:val="6B2F29CD"/>
    <w:rsid w:val="6B995345"/>
    <w:rsid w:val="6BA51875"/>
    <w:rsid w:val="6BE20FA7"/>
    <w:rsid w:val="6C1E2987"/>
    <w:rsid w:val="6C5B77B1"/>
    <w:rsid w:val="6C603FA0"/>
    <w:rsid w:val="6C6A365D"/>
    <w:rsid w:val="6C6B70D3"/>
    <w:rsid w:val="6C6F0665"/>
    <w:rsid w:val="6C9A4EDD"/>
    <w:rsid w:val="6CA92E1F"/>
    <w:rsid w:val="6CAB72BA"/>
    <w:rsid w:val="6CAE5613"/>
    <w:rsid w:val="6CAF2894"/>
    <w:rsid w:val="6CB57BF8"/>
    <w:rsid w:val="6D16301C"/>
    <w:rsid w:val="6D176F16"/>
    <w:rsid w:val="6D5E673B"/>
    <w:rsid w:val="6D6C2667"/>
    <w:rsid w:val="6D7E5689"/>
    <w:rsid w:val="6D8F6466"/>
    <w:rsid w:val="6DCD6684"/>
    <w:rsid w:val="6DDD0FC0"/>
    <w:rsid w:val="6DEF4449"/>
    <w:rsid w:val="6DF42201"/>
    <w:rsid w:val="6DFD45F9"/>
    <w:rsid w:val="6E066862"/>
    <w:rsid w:val="6E20607B"/>
    <w:rsid w:val="6E34613C"/>
    <w:rsid w:val="6E354B04"/>
    <w:rsid w:val="6E3E3352"/>
    <w:rsid w:val="6E4224BB"/>
    <w:rsid w:val="6EB01CA8"/>
    <w:rsid w:val="6EBF0FFE"/>
    <w:rsid w:val="6ECD4932"/>
    <w:rsid w:val="6ED7689A"/>
    <w:rsid w:val="6EE96322"/>
    <w:rsid w:val="6EFE434C"/>
    <w:rsid w:val="6F484A39"/>
    <w:rsid w:val="6F706F6D"/>
    <w:rsid w:val="6F8A0E90"/>
    <w:rsid w:val="6FAD5A0E"/>
    <w:rsid w:val="6FD56F90"/>
    <w:rsid w:val="6FD9252B"/>
    <w:rsid w:val="6FE72ECA"/>
    <w:rsid w:val="6FF271E6"/>
    <w:rsid w:val="7009138B"/>
    <w:rsid w:val="701F098A"/>
    <w:rsid w:val="702808BC"/>
    <w:rsid w:val="705B2FBE"/>
    <w:rsid w:val="70620A1B"/>
    <w:rsid w:val="709B57CA"/>
    <w:rsid w:val="70A33694"/>
    <w:rsid w:val="70CE674E"/>
    <w:rsid w:val="710A4600"/>
    <w:rsid w:val="711C37FB"/>
    <w:rsid w:val="7143527B"/>
    <w:rsid w:val="714D6D8A"/>
    <w:rsid w:val="71590BA8"/>
    <w:rsid w:val="71AC499B"/>
    <w:rsid w:val="71CB0797"/>
    <w:rsid w:val="71D54083"/>
    <w:rsid w:val="7203641D"/>
    <w:rsid w:val="72053538"/>
    <w:rsid w:val="725B563A"/>
    <w:rsid w:val="72633751"/>
    <w:rsid w:val="7294585E"/>
    <w:rsid w:val="729B08F4"/>
    <w:rsid w:val="72EF56CB"/>
    <w:rsid w:val="730130EC"/>
    <w:rsid w:val="730A0EFA"/>
    <w:rsid w:val="73122122"/>
    <w:rsid w:val="73133AF6"/>
    <w:rsid w:val="73571DA7"/>
    <w:rsid w:val="735A7E1D"/>
    <w:rsid w:val="73860080"/>
    <w:rsid w:val="73CE3F62"/>
    <w:rsid w:val="73D24DBB"/>
    <w:rsid w:val="73F117C4"/>
    <w:rsid w:val="74023AC4"/>
    <w:rsid w:val="74126BDF"/>
    <w:rsid w:val="74261284"/>
    <w:rsid w:val="742B4A7E"/>
    <w:rsid w:val="742C7E1A"/>
    <w:rsid w:val="74447AAF"/>
    <w:rsid w:val="7456461F"/>
    <w:rsid w:val="74601680"/>
    <w:rsid w:val="7487653F"/>
    <w:rsid w:val="7497340D"/>
    <w:rsid w:val="749E4A28"/>
    <w:rsid w:val="74A259D6"/>
    <w:rsid w:val="74F04CCE"/>
    <w:rsid w:val="750E5E74"/>
    <w:rsid w:val="75123670"/>
    <w:rsid w:val="751629F3"/>
    <w:rsid w:val="751E540B"/>
    <w:rsid w:val="75247BB6"/>
    <w:rsid w:val="755918D9"/>
    <w:rsid w:val="75726510"/>
    <w:rsid w:val="758049E2"/>
    <w:rsid w:val="75A138A7"/>
    <w:rsid w:val="76135C9C"/>
    <w:rsid w:val="76196A7E"/>
    <w:rsid w:val="76324388"/>
    <w:rsid w:val="76611700"/>
    <w:rsid w:val="76904CAE"/>
    <w:rsid w:val="76915B09"/>
    <w:rsid w:val="769551DC"/>
    <w:rsid w:val="76987A58"/>
    <w:rsid w:val="76A47B4D"/>
    <w:rsid w:val="76A74CDD"/>
    <w:rsid w:val="76B5081C"/>
    <w:rsid w:val="76F9548E"/>
    <w:rsid w:val="770A5897"/>
    <w:rsid w:val="773F6262"/>
    <w:rsid w:val="7749442A"/>
    <w:rsid w:val="77521360"/>
    <w:rsid w:val="777700FC"/>
    <w:rsid w:val="77887324"/>
    <w:rsid w:val="778F271E"/>
    <w:rsid w:val="77A86184"/>
    <w:rsid w:val="77DF4145"/>
    <w:rsid w:val="77E74946"/>
    <w:rsid w:val="781415DB"/>
    <w:rsid w:val="78567E1D"/>
    <w:rsid w:val="78603C19"/>
    <w:rsid w:val="786045C9"/>
    <w:rsid w:val="786B5179"/>
    <w:rsid w:val="7875133E"/>
    <w:rsid w:val="787E16F4"/>
    <w:rsid w:val="788D01E7"/>
    <w:rsid w:val="789B2D2B"/>
    <w:rsid w:val="78A25AEA"/>
    <w:rsid w:val="78A4359F"/>
    <w:rsid w:val="78AE4BB8"/>
    <w:rsid w:val="78B870B5"/>
    <w:rsid w:val="78B9627E"/>
    <w:rsid w:val="78C40A5E"/>
    <w:rsid w:val="78CD38F9"/>
    <w:rsid w:val="78D857FD"/>
    <w:rsid w:val="790D5F84"/>
    <w:rsid w:val="792F6AB5"/>
    <w:rsid w:val="79394F48"/>
    <w:rsid w:val="793C591B"/>
    <w:rsid w:val="795103E6"/>
    <w:rsid w:val="79552200"/>
    <w:rsid w:val="79553CB9"/>
    <w:rsid w:val="795E3DDB"/>
    <w:rsid w:val="7995253F"/>
    <w:rsid w:val="79A16B3F"/>
    <w:rsid w:val="79C92BB3"/>
    <w:rsid w:val="79EA2CF9"/>
    <w:rsid w:val="7A097F49"/>
    <w:rsid w:val="7A1A3091"/>
    <w:rsid w:val="7A4F741A"/>
    <w:rsid w:val="7A5A76AD"/>
    <w:rsid w:val="7A5E466E"/>
    <w:rsid w:val="7A607FDF"/>
    <w:rsid w:val="7A67274D"/>
    <w:rsid w:val="7A6A5492"/>
    <w:rsid w:val="7A6E0CA5"/>
    <w:rsid w:val="7A746919"/>
    <w:rsid w:val="7A7E7FD6"/>
    <w:rsid w:val="7A9C29F1"/>
    <w:rsid w:val="7AA8602F"/>
    <w:rsid w:val="7AAD58FD"/>
    <w:rsid w:val="7AB47177"/>
    <w:rsid w:val="7AE96EE0"/>
    <w:rsid w:val="7AF8767D"/>
    <w:rsid w:val="7B0B4E4F"/>
    <w:rsid w:val="7B18177F"/>
    <w:rsid w:val="7B224779"/>
    <w:rsid w:val="7B2B152F"/>
    <w:rsid w:val="7B4123EA"/>
    <w:rsid w:val="7B7717AC"/>
    <w:rsid w:val="7B7C41B3"/>
    <w:rsid w:val="7B843EB5"/>
    <w:rsid w:val="7BA944A9"/>
    <w:rsid w:val="7BB97641"/>
    <w:rsid w:val="7BBE4042"/>
    <w:rsid w:val="7BCB44CC"/>
    <w:rsid w:val="7C210AA6"/>
    <w:rsid w:val="7C233A54"/>
    <w:rsid w:val="7C2F60A8"/>
    <w:rsid w:val="7C623B1C"/>
    <w:rsid w:val="7C6327A6"/>
    <w:rsid w:val="7C753189"/>
    <w:rsid w:val="7C917DA0"/>
    <w:rsid w:val="7CA56EE2"/>
    <w:rsid w:val="7CAE4859"/>
    <w:rsid w:val="7CCF74E8"/>
    <w:rsid w:val="7CD32AC5"/>
    <w:rsid w:val="7CFD5415"/>
    <w:rsid w:val="7D11165E"/>
    <w:rsid w:val="7D532E2A"/>
    <w:rsid w:val="7DC25DF3"/>
    <w:rsid w:val="7DF11108"/>
    <w:rsid w:val="7E196131"/>
    <w:rsid w:val="7E4245B4"/>
    <w:rsid w:val="7E4608C3"/>
    <w:rsid w:val="7E623C52"/>
    <w:rsid w:val="7E774B3D"/>
    <w:rsid w:val="7EC45D91"/>
    <w:rsid w:val="7ED92177"/>
    <w:rsid w:val="7EDC4C96"/>
    <w:rsid w:val="7EEF2E29"/>
    <w:rsid w:val="7EF06513"/>
    <w:rsid w:val="7EF25221"/>
    <w:rsid w:val="7EFD7C18"/>
    <w:rsid w:val="7F0751BC"/>
    <w:rsid w:val="7F0D0B97"/>
    <w:rsid w:val="7F1E11EE"/>
    <w:rsid w:val="7F3C1D50"/>
    <w:rsid w:val="7F3E0BDF"/>
    <w:rsid w:val="7F4109C3"/>
    <w:rsid w:val="7F694D01"/>
    <w:rsid w:val="7F7A0B2C"/>
    <w:rsid w:val="7FAB14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widowControl w:val="0"/>
      <w:spacing w:before="0" w:beforeLines="0" w:beforeAutospacing="0" w:after="0" w:afterLines="0" w:afterAutospacing="0" w:line="576" w:lineRule="auto"/>
      <w:outlineLvl w:val="0"/>
    </w:pPr>
    <w:rPr>
      <w:b/>
      <w:kern w:val="44"/>
      <w:sz w:val="44"/>
    </w:rPr>
  </w:style>
  <w:style w:type="paragraph" w:styleId="4">
    <w:name w:val="heading 2"/>
    <w:basedOn w:val="1"/>
    <w:next w:val="1"/>
    <w:link w:val="34"/>
    <w:autoRedefine/>
    <w:qFormat/>
    <w:uiPriority w:val="0"/>
    <w:pPr>
      <w:keepNext/>
      <w:keepLines/>
      <w:widowControl w:val="0"/>
      <w:spacing w:before="260" w:after="260" w:line="415" w:lineRule="auto"/>
      <w:outlineLvl w:val="1"/>
    </w:pPr>
    <w:rPr>
      <w:rFonts w:ascii="Calibri Light" w:hAnsi="Calibri Light" w:eastAsia="宋体" w:cs="Times New Roman"/>
      <w:b/>
      <w:bCs/>
      <w:sz w:val="32"/>
      <w:szCs w:val="32"/>
    </w:rPr>
  </w:style>
  <w:style w:type="paragraph" w:styleId="5">
    <w:name w:val="heading 3"/>
    <w:basedOn w:val="1"/>
    <w:next w:val="1"/>
    <w:autoRedefine/>
    <w:qFormat/>
    <w:uiPriority w:val="0"/>
    <w:pPr>
      <w:keepNext/>
      <w:keepLines/>
      <w:widowControl w:val="0"/>
      <w:spacing w:before="0" w:beforeLines="0" w:beforeAutospacing="0" w:after="0" w:afterLines="0" w:afterAutospacing="0" w:line="413" w:lineRule="auto"/>
      <w:outlineLvl w:val="2"/>
    </w:pPr>
    <w:rPr>
      <w:b/>
      <w:sz w:val="32"/>
    </w:rPr>
  </w:style>
  <w:style w:type="character" w:default="1" w:styleId="14">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b/>
      <w:bCs/>
      <w:sz w:val="32"/>
      <w:szCs w:val="32"/>
    </w:rPr>
  </w:style>
  <w:style w:type="paragraph" w:styleId="6">
    <w:name w:val="annotation text"/>
    <w:basedOn w:val="1"/>
    <w:autoRedefine/>
    <w:qFormat/>
    <w:uiPriority w:val="0"/>
    <w:pPr>
      <w:jc w:val="left"/>
    </w:pPr>
  </w:style>
  <w:style w:type="paragraph" w:styleId="7">
    <w:name w:val="Body Text"/>
    <w:basedOn w:val="1"/>
    <w:next w:val="1"/>
    <w:autoRedefine/>
    <w:qFormat/>
    <w:uiPriority w:val="0"/>
    <w:pPr>
      <w:spacing w:after="12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200" w:leftChars="200"/>
    </w:pPr>
  </w:style>
  <w:style w:type="paragraph" w:styleId="12">
    <w:name w:val="Normal (Web)"/>
    <w:basedOn w:val="1"/>
    <w:autoRedefine/>
    <w:qFormat/>
    <w:uiPriority w:val="0"/>
    <w:pPr>
      <w:spacing w:before="0" w:beforeAutospacing="0" w:after="150" w:afterAutospacing="0"/>
      <w:ind w:left="0" w:right="0"/>
      <w:jc w:val="left"/>
    </w:pPr>
    <w:rPr>
      <w:kern w:val="0"/>
      <w:sz w:val="24"/>
      <w:lang w:val="en-US" w:eastAsia="zh-CN"/>
    </w:rPr>
  </w:style>
  <w:style w:type="character" w:styleId="15">
    <w:name w:val="Strong"/>
    <w:basedOn w:val="14"/>
    <w:autoRedefine/>
    <w:qFormat/>
    <w:uiPriority w:val="0"/>
    <w:rPr>
      <w:b/>
    </w:rPr>
  </w:style>
  <w:style w:type="character" w:styleId="16">
    <w:name w:val="FollowedHyperlink"/>
    <w:basedOn w:val="14"/>
    <w:autoRedefine/>
    <w:qFormat/>
    <w:uiPriority w:val="0"/>
    <w:rPr>
      <w:color w:val="333333"/>
      <w:sz w:val="18"/>
      <w:szCs w:val="18"/>
      <w:u w:val="none"/>
    </w:rPr>
  </w:style>
  <w:style w:type="character" w:styleId="17">
    <w:name w:val="Emphasis"/>
    <w:basedOn w:val="14"/>
    <w:autoRedefine/>
    <w:qFormat/>
    <w:uiPriority w:val="0"/>
  </w:style>
  <w:style w:type="character" w:styleId="18">
    <w:name w:val="HTML Definition"/>
    <w:basedOn w:val="14"/>
    <w:autoRedefine/>
    <w:qFormat/>
    <w:uiPriority w:val="0"/>
  </w:style>
  <w:style w:type="character" w:styleId="19">
    <w:name w:val="HTML Acronym"/>
    <w:basedOn w:val="14"/>
    <w:autoRedefine/>
    <w:qFormat/>
    <w:uiPriority w:val="0"/>
  </w:style>
  <w:style w:type="character" w:styleId="20">
    <w:name w:val="HTML Variable"/>
    <w:basedOn w:val="14"/>
    <w:autoRedefine/>
    <w:qFormat/>
    <w:uiPriority w:val="0"/>
  </w:style>
  <w:style w:type="character" w:styleId="21">
    <w:name w:val="Hyperlink"/>
    <w:basedOn w:val="14"/>
    <w:autoRedefine/>
    <w:qFormat/>
    <w:uiPriority w:val="0"/>
    <w:rPr>
      <w:color w:val="333333"/>
      <w:sz w:val="18"/>
      <w:szCs w:val="18"/>
      <w:u w:val="none"/>
    </w:rPr>
  </w:style>
  <w:style w:type="character" w:styleId="22">
    <w:name w:val="HTML Code"/>
    <w:basedOn w:val="14"/>
    <w:autoRedefine/>
    <w:qFormat/>
    <w:uiPriority w:val="0"/>
    <w:rPr>
      <w:rFonts w:ascii="Courier New" w:hAnsi="Courier New"/>
      <w:sz w:val="20"/>
    </w:rPr>
  </w:style>
  <w:style w:type="character" w:styleId="23">
    <w:name w:val="HTML Cite"/>
    <w:basedOn w:val="14"/>
    <w:autoRedefine/>
    <w:qFormat/>
    <w:uiPriority w:val="0"/>
  </w:style>
  <w:style w:type="paragraph" w:customStyle="1" w:styleId="24">
    <w:name w:val="正文首行缩进 21"/>
    <w:basedOn w:val="25"/>
    <w:autoRedefine/>
    <w:qFormat/>
    <w:uiPriority w:val="0"/>
    <w:pPr>
      <w:ind w:firstLine="420" w:firstLineChars="200"/>
    </w:pPr>
  </w:style>
  <w:style w:type="paragraph" w:customStyle="1" w:styleId="25">
    <w:name w:val="正文文本缩进1"/>
    <w:basedOn w:val="1"/>
    <w:autoRedefine/>
    <w:qFormat/>
    <w:uiPriority w:val="0"/>
    <w:pPr>
      <w:spacing w:line="680" w:lineRule="exact"/>
      <w:ind w:firstLine="640" w:firstLineChars="200"/>
    </w:pPr>
    <w:rPr>
      <w:rFonts w:ascii="仿宋_GB2312" w:eastAsia="仿宋_GB2312"/>
      <w:sz w:val="32"/>
      <w:szCs w:val="24"/>
      <w:lang w:eastAsia="en-US" w:bidi="ar-SA"/>
    </w:rPr>
  </w:style>
  <w:style w:type="paragraph" w:customStyle="1" w:styleId="26">
    <w:name w:val="文本块1"/>
    <w:basedOn w:val="1"/>
    <w:autoRedefine/>
    <w:qFormat/>
    <w:uiPriority w:val="0"/>
    <w:pPr>
      <w:tabs>
        <w:tab w:val="left" w:pos="140"/>
      </w:tabs>
      <w:spacing w:line="360" w:lineRule="auto"/>
      <w:ind w:left="-40" w:leftChars="-40" w:right="51" w:rightChars="51" w:firstLine="200" w:firstLineChars="200"/>
    </w:pPr>
    <w:rPr>
      <w:rFonts w:ascii="宋体"/>
      <w:color w:val="000000"/>
      <w:sz w:val="24"/>
      <w:szCs w:val="28"/>
    </w:rPr>
  </w:style>
  <w:style w:type="paragraph" w:customStyle="1" w:styleId="27">
    <w:name w:val="Block Text"/>
    <w:basedOn w:val="1"/>
    <w:autoRedefine/>
    <w:qFormat/>
    <w:uiPriority w:val="0"/>
    <w:pPr>
      <w:tabs>
        <w:tab w:val="left" w:pos="140"/>
      </w:tabs>
      <w:spacing w:line="360" w:lineRule="auto"/>
      <w:ind w:left="-40" w:leftChars="-40" w:right="51" w:rightChars="51" w:firstLine="200" w:firstLineChars="200"/>
    </w:pPr>
    <w:rPr>
      <w:rFonts w:ascii="宋体"/>
      <w:color w:val="000000"/>
      <w:sz w:val="24"/>
      <w:szCs w:val="28"/>
    </w:rPr>
  </w:style>
  <w:style w:type="paragraph" w:customStyle="1" w:styleId="28">
    <w:name w:val="Block Text1"/>
    <w:basedOn w:val="1"/>
    <w:autoRedefine/>
    <w:qFormat/>
    <w:uiPriority w:val="0"/>
    <w:pPr>
      <w:tabs>
        <w:tab w:val="left" w:pos="140"/>
      </w:tabs>
      <w:spacing w:line="360" w:lineRule="auto"/>
      <w:ind w:left="-40" w:leftChars="-40" w:right="51" w:rightChars="51" w:firstLine="200" w:firstLineChars="200"/>
    </w:pPr>
    <w:rPr>
      <w:rFonts w:ascii="宋体"/>
      <w:color w:val="000000"/>
      <w:sz w:val="24"/>
      <w:szCs w:val="28"/>
    </w:rPr>
  </w:style>
  <w:style w:type="paragraph" w:customStyle="1" w:styleId="29">
    <w:name w:val="样式4"/>
    <w:basedOn w:val="1"/>
    <w:autoRedefine/>
    <w:qFormat/>
    <w:uiPriority w:val="0"/>
    <w:pPr>
      <w:tabs>
        <w:tab w:val="left" w:pos="942"/>
        <w:tab w:val="left" w:pos="987"/>
        <w:tab w:val="left" w:pos="1086"/>
      </w:tabs>
      <w:adjustRightInd w:val="0"/>
      <w:snapToGrid w:val="0"/>
      <w:spacing w:before="50" w:beforeLines="50" w:after="50" w:afterLines="50"/>
      <w:ind w:firstLine="0"/>
      <w:jc w:val="left"/>
      <w:outlineLvl w:val="1"/>
    </w:pPr>
    <w:rPr>
      <w:rFonts w:eastAsia="黑体"/>
      <w:b/>
      <w:sz w:val="24"/>
    </w:rPr>
  </w:style>
  <w:style w:type="paragraph" w:customStyle="1" w:styleId="30">
    <w:name w:val="Normal (Web)"/>
    <w:basedOn w:val="1"/>
    <w:autoRedefine/>
    <w:qFormat/>
    <w:uiPriority w:val="0"/>
    <w:pPr>
      <w:jc w:val="left"/>
    </w:pPr>
    <w:rPr>
      <w:rFonts w:cs="Times New Roman"/>
      <w:kern w:val="0"/>
      <w:sz w:val="24"/>
    </w:rPr>
  </w:style>
  <w:style w:type="paragraph" w:customStyle="1" w:styleId="31">
    <w:name w:val="WPSOffice手动目录 1"/>
    <w:autoRedefine/>
    <w:qFormat/>
    <w:uiPriority w:val="0"/>
    <w:rPr>
      <w:rFonts w:ascii="Times New Roman" w:hAnsi="Times New Roman" w:eastAsia="宋体" w:cs="Times New Roman"/>
      <w:sz w:val="20"/>
      <w:szCs w:val="20"/>
      <w:lang w:val="en-US" w:eastAsia="zh-CN" w:bidi="ar-SA"/>
    </w:rPr>
  </w:style>
  <w:style w:type="paragraph" w:customStyle="1" w:styleId="32">
    <w:name w:val="WPSOffice手动目录 2"/>
    <w:autoRedefine/>
    <w:qFormat/>
    <w:uiPriority w:val="0"/>
    <w:pPr>
      <w:ind w:left="200" w:leftChars="200"/>
    </w:pPr>
    <w:rPr>
      <w:rFonts w:ascii="Times New Roman" w:hAnsi="Times New Roman" w:eastAsia="宋体" w:cs="Times New Roman"/>
      <w:sz w:val="20"/>
      <w:szCs w:val="20"/>
      <w:lang w:val="en-US" w:eastAsia="zh-CN" w:bidi="ar-SA"/>
    </w:rPr>
  </w:style>
  <w:style w:type="paragraph" w:customStyle="1" w:styleId="33">
    <w:name w:val="列出段落1"/>
    <w:basedOn w:val="1"/>
    <w:autoRedefine/>
    <w:qFormat/>
    <w:uiPriority w:val="0"/>
    <w:pPr>
      <w:ind w:firstLine="200" w:firstLineChars="200"/>
    </w:pPr>
    <w:rPr>
      <w:rFonts w:eastAsia="仿宋_GB2312"/>
      <w:sz w:val="32"/>
    </w:rPr>
  </w:style>
  <w:style w:type="character" w:customStyle="1" w:styleId="34">
    <w:name w:val="标题 2 Char"/>
    <w:link w:val="4"/>
    <w:autoRedefine/>
    <w:qFormat/>
    <w:uiPriority w:val="0"/>
    <w:rPr>
      <w:rFonts w:ascii="Calibri Light" w:hAnsi="Calibri Light" w:eastAsia="宋体" w:cs="Times New Roman"/>
      <w:b/>
      <w:bCs/>
      <w:sz w:val="32"/>
      <w:szCs w:val="32"/>
    </w:rPr>
  </w:style>
  <w:style w:type="paragraph" w:customStyle="1" w:styleId="35">
    <w:name w:val="正文文本 (2)"/>
    <w:basedOn w:val="1"/>
    <w:autoRedefine/>
    <w:qFormat/>
    <w:uiPriority w:val="0"/>
    <w:pPr>
      <w:widowControl w:val="0"/>
      <w:shd w:val="clear" w:color="auto" w:fill="auto"/>
      <w:spacing w:line="503" w:lineRule="exact"/>
    </w:pPr>
    <w:rPr>
      <w:rFonts w:ascii="宋体" w:hAnsi="宋体" w:eastAsia="宋体" w:cs="宋体"/>
      <w:sz w:val="26"/>
      <w:szCs w:val="26"/>
      <w:u w:val="none"/>
      <w:shd w:val="clear" w:color="auto" w:fill="auto"/>
    </w:rPr>
  </w:style>
  <w:style w:type="paragraph" w:customStyle="1" w:styleId="36">
    <w:name w:val="_Style 35"/>
    <w:basedOn w:val="1"/>
    <w:next w:val="1"/>
    <w:autoRedefine/>
    <w:qFormat/>
    <w:uiPriority w:val="0"/>
    <w:pPr>
      <w:pBdr>
        <w:bottom w:val="single" w:color="auto" w:sz="6" w:space="1"/>
      </w:pBdr>
      <w:jc w:val="center"/>
    </w:pPr>
    <w:rPr>
      <w:rFonts w:ascii="Arial" w:eastAsia="宋体"/>
      <w:vanish/>
      <w:sz w:val="16"/>
    </w:rPr>
  </w:style>
  <w:style w:type="paragraph" w:customStyle="1" w:styleId="37">
    <w:name w:val="_Style 36"/>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116</Pages>
  <Words>35690</Words>
  <Characters>36208</Characters>
  <Lines>1972</Lines>
  <Paragraphs>460</Paragraphs>
  <TotalTime>26</TotalTime>
  <ScaleCrop>false</ScaleCrop>
  <LinksUpToDate>false</LinksUpToDate>
  <CharactersWithSpaces>36471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2020-12-26T14:51:00Z</dcterms:created>
  <dc:creator>86189</dc:creator>
  <cp:lastModifiedBy>白云张宏钢</cp:lastModifiedBy>
  <cp:lastPrinted>2021-06-24T07:55:00Z</cp:lastPrinted>
  <dcterms:modified xsi:type="dcterms:W3CDTF">2026-06-02T01:19:10Z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EB6AFEB099854FA8A92F738D4567785B_13</vt:lpwstr>
  </property>
  <property fmtid="{D5CDD505-2E9C-101B-9397-08002B2CF9AE}" pid="4" name="KSOTemplateDocerSaveRecord">
    <vt:lpwstr>eyJoZGlkIjoiYTIwMzI5NTAzMTg2YWIzNzZlYWI3ZDQ3MDhhMWVjZjIiLCJ1c2VySWQiOiIyNTk4MjI3NTUifQ==</vt:lpwstr>
  </property>
</Properties>
</file>