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414F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宋体" w:eastAsia="方正小标宋简体"/>
          <w:sz w:val="44"/>
          <w:szCs w:val="44"/>
        </w:rPr>
        <w:pPrChange w:id="0" w:author="文印室:文印室打字套红" w:date="2024-10-18T10:43:34Z">
          <w:pPr>
            <w:keepNext w:val="0"/>
            <w:keepLines w:val="0"/>
            <w:pageBreakBefore w:val="0"/>
            <w:widowControl w:val="0"/>
            <w:kinsoku/>
            <w:wordWrap/>
            <w:overflowPunct/>
            <w:topLinePunct w:val="0"/>
            <w:autoSpaceDE/>
            <w:autoSpaceDN/>
            <w:bidi w:val="0"/>
            <w:adjustRightInd/>
            <w:snapToGrid/>
            <w:spacing w:line="600" w:lineRule="exact"/>
            <w:jc w:val="center"/>
            <w:textAlignment w:val="auto"/>
          </w:pPr>
        </w:pPrChange>
      </w:pPr>
      <w:bookmarkStart w:id="0" w:name="_GoBack"/>
      <w:bookmarkEnd w:id="0"/>
      <w:r>
        <w:rPr>
          <w:rFonts w:hint="eastAsia" w:ascii="方正小标宋简体" w:hAnsi="宋体" w:eastAsia="方正小标宋简体"/>
          <w:sz w:val="44"/>
          <w:szCs w:val="44"/>
        </w:rPr>
        <w:t>内蒙古自治区交通运输</w:t>
      </w:r>
    </w:p>
    <w:p w14:paraId="7BDBC4A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sz w:val="44"/>
          <w:szCs w:val="44"/>
        </w:rPr>
        <w:pPrChange w:id="1" w:author="文印室:文印室打字套红" w:date="2024-10-18T10:43:34Z">
          <w:pPr>
            <w:keepNext w:val="0"/>
            <w:keepLines w:val="0"/>
            <w:pageBreakBefore w:val="0"/>
            <w:widowControl w:val="0"/>
            <w:kinsoku/>
            <w:wordWrap/>
            <w:overflowPunct/>
            <w:topLinePunct w:val="0"/>
            <w:autoSpaceDE/>
            <w:autoSpaceDN/>
            <w:bidi w:val="0"/>
            <w:adjustRightInd/>
            <w:snapToGrid/>
            <w:spacing w:line="600" w:lineRule="exact"/>
            <w:jc w:val="center"/>
            <w:textAlignment w:val="auto"/>
          </w:pPr>
        </w:pPrChange>
      </w:pPr>
      <w:r>
        <w:rPr>
          <w:rFonts w:hint="eastAsia" w:ascii="方正小标宋简体" w:hAnsi="宋体" w:eastAsia="方正小标宋简体"/>
          <w:sz w:val="44"/>
          <w:szCs w:val="44"/>
        </w:rPr>
        <w:t>行政处罚裁量权适用规则</w:t>
      </w:r>
    </w:p>
    <w:p w14:paraId="714F05D3">
      <w:pPr>
        <w:keepNext w:val="0"/>
        <w:keepLines w:val="0"/>
        <w:pageBreakBefore w:val="0"/>
        <w:widowControl w:val="0"/>
        <w:kinsoku/>
        <w:wordWrap/>
        <w:overflowPunct/>
        <w:topLinePunct w:val="0"/>
        <w:autoSpaceDE/>
        <w:autoSpaceDN/>
        <w:bidi w:val="0"/>
        <w:spacing w:line="600" w:lineRule="exact"/>
        <w:jc w:val="both"/>
        <w:textAlignment w:val="auto"/>
        <w:rPr>
          <w:rFonts w:ascii="仿宋_GB2312" w:hAnsi="黑体" w:eastAsia="仿宋_GB2312"/>
          <w:sz w:val="32"/>
          <w:szCs w:val="32"/>
        </w:rPr>
      </w:pPr>
    </w:p>
    <w:p w14:paraId="3341535F">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为规范自治区交通运输行政处罚裁量权基准（以下简称《基准》）的制定和实施，保护公民、法人和其他组织的合法权益，根据《中华人民共和国行政处罚法》</w:t>
      </w:r>
      <w:r>
        <w:rPr>
          <w:rFonts w:hint="eastAsia" w:ascii="仿宋_GB2312" w:hAnsi="仿宋_GB2312" w:eastAsia="仿宋_GB2312" w:cs="仿宋_GB2312"/>
          <w:color w:val="auto"/>
          <w:sz w:val="32"/>
          <w:szCs w:val="32"/>
        </w:rPr>
        <w:t>《内蒙古自治区行政</w:t>
      </w:r>
      <w:r>
        <w:rPr>
          <w:rFonts w:hint="eastAsia" w:ascii="仿宋_GB2312" w:hAnsi="仿宋_GB2312" w:eastAsia="仿宋_GB2312" w:cs="仿宋_GB2312"/>
          <w:color w:val="auto"/>
          <w:sz w:val="32"/>
          <w:szCs w:val="32"/>
          <w:lang w:eastAsia="zh-CN"/>
        </w:rPr>
        <w:t>执法</w:t>
      </w:r>
      <w:r>
        <w:rPr>
          <w:rFonts w:hint="eastAsia" w:ascii="仿宋_GB2312" w:hAnsi="仿宋_GB2312" w:eastAsia="仿宋_GB2312" w:cs="仿宋_GB2312"/>
          <w:color w:val="auto"/>
          <w:sz w:val="32"/>
          <w:szCs w:val="32"/>
        </w:rPr>
        <w:t>监督条例》《交通运输行政执法程序规定》</w:t>
      </w:r>
      <w:r>
        <w:rPr>
          <w:rFonts w:hint="eastAsia" w:ascii="仿宋_GB2312" w:hAnsi="仿宋_GB2312" w:eastAsia="仿宋_GB2312" w:cs="仿宋_GB2312"/>
          <w:color w:val="auto"/>
          <w:sz w:val="32"/>
          <w:szCs w:val="32"/>
          <w:lang w:eastAsia="zh-CN"/>
        </w:rPr>
        <w:t>等法律法规和</w:t>
      </w:r>
      <w:r>
        <w:rPr>
          <w:rFonts w:hint="eastAsia" w:ascii="仿宋_GB2312" w:hAnsi="仿宋_GB2312" w:eastAsia="仿宋_GB2312" w:cs="仿宋_GB2312"/>
          <w:b w:val="0"/>
          <w:bCs w:val="0"/>
          <w:color w:val="auto"/>
          <w:sz w:val="32"/>
          <w:szCs w:val="32"/>
          <w:lang w:val="en-US" w:eastAsia="zh-CN"/>
        </w:rPr>
        <w:t>《国务院关于进一步规范和监督罚款设定与实施的指导意见》</w:t>
      </w:r>
      <w:r>
        <w:rPr>
          <w:rFonts w:hint="eastAsia" w:ascii="仿宋_GB2312" w:hAnsi="仿宋_GB2312" w:eastAsia="仿宋_GB2312" w:cs="仿宋_GB2312"/>
          <w:sz w:val="32"/>
          <w:szCs w:val="32"/>
          <w:lang w:eastAsia="zh-CN"/>
        </w:rPr>
        <w:t>相关规定</w:t>
      </w:r>
      <w:r>
        <w:rPr>
          <w:rFonts w:hint="eastAsia" w:ascii="仿宋_GB2312" w:hAnsi="仿宋_GB2312" w:eastAsia="仿宋_GB2312" w:cs="仿宋_GB2312"/>
          <w:sz w:val="32"/>
          <w:szCs w:val="32"/>
        </w:rPr>
        <w:t>，结合工作实际，制定</w:t>
      </w:r>
      <w:r>
        <w:rPr>
          <w:rFonts w:hint="eastAsia" w:ascii="仿宋_GB2312" w:hAnsi="仿宋_GB2312" w:eastAsia="仿宋_GB2312" w:cs="仿宋_GB2312"/>
          <w:sz w:val="32"/>
          <w:szCs w:val="32"/>
          <w:lang w:eastAsia="zh-CN"/>
        </w:rPr>
        <w:t>《内蒙古自治区交通运输行政处罚裁量权适用规则》（以下简称《规则》）</w:t>
      </w:r>
      <w:r>
        <w:rPr>
          <w:rFonts w:hint="eastAsia" w:ascii="仿宋_GB2312" w:hAnsi="仿宋_GB2312" w:eastAsia="仿宋_GB2312" w:cs="仿宋_GB2312"/>
          <w:sz w:val="32"/>
          <w:szCs w:val="32"/>
        </w:rPr>
        <w:t>。</w:t>
      </w:r>
    </w:p>
    <w:p w14:paraId="2EB471D5">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kern w:val="0"/>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所称</w:t>
      </w:r>
      <w:r>
        <w:rPr>
          <w:rFonts w:hint="eastAsia" w:ascii="仿宋_GB2312" w:hAnsi="仿宋_GB2312" w:eastAsia="仿宋_GB2312" w:cs="仿宋_GB2312"/>
          <w:kern w:val="0"/>
          <w:sz w:val="32"/>
          <w:szCs w:val="32"/>
        </w:rPr>
        <w:t>交通运输行政处罚裁量权</w:t>
      </w:r>
      <w:r>
        <w:rPr>
          <w:rFonts w:hint="eastAsia" w:ascii="仿宋_GB2312" w:hAnsi="仿宋_GB2312" w:eastAsia="仿宋_GB2312" w:cs="仿宋_GB2312"/>
          <w:sz w:val="32"/>
          <w:szCs w:val="32"/>
        </w:rPr>
        <w:t>，是指交通运输主管部门及其所属</w:t>
      </w:r>
      <w:r>
        <w:rPr>
          <w:rFonts w:hint="eastAsia" w:ascii="仿宋_GB2312" w:hAnsi="仿宋_GB2312" w:eastAsia="仿宋_GB2312" w:cs="仿宋_GB2312"/>
          <w:sz w:val="32"/>
          <w:szCs w:val="32"/>
          <w:lang w:val="en-US" w:eastAsia="zh-CN"/>
        </w:rPr>
        <w:t>综合</w:t>
      </w:r>
      <w:r>
        <w:rPr>
          <w:rFonts w:hint="eastAsia" w:ascii="仿宋_GB2312" w:hAnsi="仿宋_GB2312" w:eastAsia="仿宋_GB2312" w:cs="仿宋_GB2312"/>
          <w:sz w:val="32"/>
          <w:szCs w:val="32"/>
        </w:rPr>
        <w:t>行政执法机构</w:t>
      </w:r>
      <w:r>
        <w:rPr>
          <w:rFonts w:hint="eastAsia" w:ascii="仿宋_GB2312" w:hAnsi="仿宋_GB2312" w:eastAsia="仿宋_GB2312" w:cs="仿宋_GB2312"/>
          <w:kern w:val="0"/>
          <w:sz w:val="32"/>
          <w:szCs w:val="32"/>
        </w:rPr>
        <w:t>在实施行政处罚时，依据法律、法规、规章，综合考虑违法行为的事实、性质、情节、社会危害后果以及当事人的主观过错等因素，决定是否给予行政处罚，以及给予行政处罚的种类、幅度的权限。</w:t>
      </w:r>
    </w:p>
    <w:p w14:paraId="1DE3D092">
      <w:pPr>
        <w:keepNext w:val="0"/>
        <w:keepLines w:val="0"/>
        <w:pageBreakBefore w:val="0"/>
        <w:widowControl w:val="0"/>
        <w:shd w:val="clear" w:color="auto" w:fill="FFFFFF"/>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kern w:val="0"/>
          <w:sz w:val="32"/>
          <w:szCs w:val="32"/>
        </w:rPr>
      </w:pPr>
      <w:r>
        <w:rPr>
          <w:rFonts w:hint="eastAsia" w:ascii="黑体" w:hAnsi="黑体" w:eastAsia="黑体" w:cs="黑体"/>
          <w:kern w:val="0"/>
          <w:sz w:val="32"/>
          <w:szCs w:val="32"/>
          <w:lang w:eastAsia="zh-CN"/>
        </w:rPr>
        <w:t>第三条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对同一行政执法事项，上级交通运输主管部门已经制定行政裁量权基准的，下级交通运输主管部门原则上应直接适用；如下级交通运输主管部门不能直接适用，可以结合本地区经济社会发展状况，在法律、法规、规章规定的行政裁量权范围内进行合理细化量化，但不能超出上级交通运输主管部门划定的阶次或者幅度。</w:t>
      </w:r>
    </w:p>
    <w:p w14:paraId="2E21EEF0">
      <w:pPr>
        <w:keepNext w:val="0"/>
        <w:keepLines w:val="0"/>
        <w:pageBreakBefore w:val="0"/>
        <w:widowControl w:val="0"/>
        <w:shd w:val="clear" w:color="auto" w:fill="FFFFFF"/>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kern w:val="0"/>
          <w:sz w:val="32"/>
          <w:szCs w:val="32"/>
          <w:lang w:eastAsia="zh-CN"/>
        </w:rPr>
        <w:t>第四条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上级交通运输主管部门制定的行政处罚裁量权基准未列明的违法行为、情节和后果等，下级交通运输主管部门可以根据本地区经济社会发展状况，在法律、法规、规章规定的行政裁量权范围内，结合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rPr>
        <w:t>的有关规定，补充制定本辖区的行政处罚裁量权基准，并依法依规公开</w:t>
      </w:r>
      <w:r>
        <w:rPr>
          <w:rFonts w:hint="eastAsia" w:ascii="仿宋_GB2312" w:hAnsi="仿宋_GB2312" w:eastAsia="仿宋_GB2312" w:cs="仿宋_GB2312"/>
          <w:kern w:val="0"/>
          <w:sz w:val="32"/>
          <w:szCs w:val="32"/>
          <w:lang w:eastAsia="zh-CN"/>
        </w:rPr>
        <w:t>，向上级交通运输主管部门和同级司法行政部门</w:t>
      </w:r>
      <w:r>
        <w:rPr>
          <w:rFonts w:hint="eastAsia" w:ascii="仿宋_GB2312" w:hAnsi="仿宋_GB2312" w:eastAsia="仿宋_GB2312" w:cs="仿宋_GB2312"/>
          <w:kern w:val="0"/>
          <w:sz w:val="32"/>
          <w:szCs w:val="32"/>
        </w:rPr>
        <w:t>备案。</w:t>
      </w:r>
    </w:p>
    <w:p w14:paraId="46C1EDFA">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和《基准》适用于内蒙古自治区行政区域内交通运输行政处罚工作。</w:t>
      </w:r>
    </w:p>
    <w:p w14:paraId="0B9761EB">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各级交通运输主管部门</w:t>
      </w:r>
      <w:r>
        <w:rPr>
          <w:rFonts w:hint="eastAsia" w:ascii="仿宋_GB2312" w:hAnsi="仿宋_GB2312" w:eastAsia="仿宋_GB2312" w:cs="仿宋_GB2312"/>
          <w:sz w:val="32"/>
          <w:szCs w:val="32"/>
          <w:lang w:eastAsia="zh-CN"/>
        </w:rPr>
        <w:t>及其所属</w:t>
      </w:r>
      <w:r>
        <w:rPr>
          <w:rFonts w:hint="eastAsia" w:ascii="仿宋_GB2312" w:hAnsi="仿宋_GB2312" w:eastAsia="仿宋_GB2312" w:cs="仿宋_GB2312"/>
          <w:sz w:val="32"/>
          <w:szCs w:val="32"/>
        </w:rPr>
        <w:t>综合行政执法机构负责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和《基准》的具体实施工作。</w:t>
      </w:r>
    </w:p>
    <w:p w14:paraId="0C4565BE">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auto"/>
          <w:sz w:val="32"/>
          <w:szCs w:val="32"/>
        </w:rPr>
        <w:t xml:space="preserve"> 制定和实施《基准》，应当遵循处罚法定原则、公正公开原则、综合裁量原则、过罚相当原则以及处罚与教育相结合原则</w:t>
      </w:r>
      <w:r>
        <w:rPr>
          <w:rFonts w:hint="eastAsia" w:ascii="仿宋_GB2312" w:hAnsi="仿宋_GB2312" w:eastAsia="仿宋_GB2312" w:cs="仿宋_GB2312"/>
          <w:color w:val="auto"/>
          <w:sz w:val="32"/>
          <w:szCs w:val="32"/>
          <w:lang w:eastAsia="zh-CN"/>
        </w:rPr>
        <w:t>。</w:t>
      </w:r>
    </w:p>
    <w:p w14:paraId="15D7AB83">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行政处罚裁量权基准根据违法事实、性质、情节、社会危害程度、实际后果、改正情况等，原则上将每种违法行为的违法</w:t>
      </w:r>
      <w:r>
        <w:rPr>
          <w:rFonts w:hint="eastAsia" w:ascii="仿宋_GB2312" w:hAnsi="仿宋_GB2312" w:eastAsia="仿宋_GB2312" w:cs="仿宋_GB2312"/>
          <w:sz w:val="32"/>
          <w:szCs w:val="32"/>
          <w:lang w:eastAsia="zh-CN"/>
        </w:rPr>
        <w:t>情形</w:t>
      </w:r>
      <w:r>
        <w:rPr>
          <w:rFonts w:hint="eastAsia" w:ascii="仿宋_GB2312" w:hAnsi="仿宋_GB2312" w:eastAsia="仿宋_GB2312" w:cs="仿宋_GB2312"/>
          <w:sz w:val="32"/>
          <w:szCs w:val="32"/>
        </w:rPr>
        <w:t>细化为轻微、较轻、一般、较重、严重五个等级。</w:t>
      </w:r>
    </w:p>
    <w:p w14:paraId="2AD80846">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u w:val="none"/>
        </w:rPr>
        <w:pPrChange w:id="2" w:author="文印室:文印室打字套红" w:date="2024-10-18T10:43:34Z">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pPr>
        </w:pPrChange>
      </w:pPr>
      <w:r>
        <w:rPr>
          <w:rFonts w:hint="eastAsia" w:ascii="黑体" w:hAnsi="黑体" w:eastAsia="黑体" w:cs="黑体"/>
          <w:sz w:val="32"/>
          <w:szCs w:val="32"/>
          <w:lang w:eastAsia="zh-CN"/>
        </w:rPr>
        <w:t>第</w:t>
      </w:r>
      <w:r>
        <w:rPr>
          <w:rFonts w:hint="eastAsia" w:ascii="黑体" w:hAnsi="黑体" w:eastAsia="黑体" w:cs="黑体"/>
          <w:sz w:val="32"/>
          <w:szCs w:val="32"/>
          <w:lang w:val="en-US" w:eastAsia="zh-CN"/>
        </w:rPr>
        <w:t>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交通运输</w:t>
      </w:r>
      <w:r>
        <w:rPr>
          <w:rFonts w:hint="eastAsia" w:ascii="仿宋_GB2312" w:hAnsi="仿宋_GB2312" w:eastAsia="仿宋_GB2312" w:cs="仿宋_GB2312"/>
          <w:sz w:val="32"/>
          <w:szCs w:val="32"/>
          <w:lang w:eastAsia="zh-CN"/>
        </w:rPr>
        <w:t>主</w:t>
      </w:r>
      <w:r>
        <w:rPr>
          <w:rFonts w:hint="eastAsia" w:ascii="仿宋_GB2312" w:hAnsi="仿宋_GB2312" w:eastAsia="仿宋_GB2312" w:cs="仿宋_GB2312"/>
          <w:sz w:val="32"/>
          <w:szCs w:val="32"/>
          <w:lang w:val="en-US" w:eastAsia="zh-CN"/>
        </w:rPr>
        <w:t>管部门及其所属</w:t>
      </w:r>
      <w:r>
        <w:rPr>
          <w:rFonts w:hint="eastAsia" w:ascii="仿宋_GB2312" w:hAnsi="仿宋_GB2312" w:eastAsia="仿宋_GB2312" w:cs="仿宋_GB2312"/>
          <w:sz w:val="32"/>
          <w:szCs w:val="32"/>
        </w:rPr>
        <w:t>综合行政执法机构应当根据案件具体情况，综合考量违法事实、性质、情节、社会危害程度、当事人主观过错等相关因素，按照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，依法作出不予处罚、减轻处罚、从轻处罚、一般处罚的裁量决定，</w:t>
      </w:r>
      <w:r>
        <w:rPr>
          <w:rFonts w:hint="eastAsia" w:ascii="仿宋_GB2312" w:hAnsi="仿宋_GB2312" w:eastAsia="仿宋_GB2312" w:cs="仿宋_GB2312"/>
          <w:b w:val="0"/>
          <w:bCs w:val="0"/>
          <w:color w:val="auto"/>
          <w:sz w:val="32"/>
          <w:szCs w:val="32"/>
          <w:u w:val="none"/>
          <w:lang w:val="en-US" w:eastAsia="zh-CN"/>
        </w:rPr>
        <w:t>并在行政处罚决定文书中对《基准》的适用情况予以说明。</w:t>
      </w:r>
    </w:p>
    <w:p w14:paraId="0508AC77">
      <w:pPr>
        <w:pStyle w:val="2"/>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b w:val="0"/>
          <w:kern w:val="2"/>
          <w:sz w:val="32"/>
          <w:szCs w:val="32"/>
          <w:lang w:val="en-US" w:eastAsia="zh-CN" w:bidi="ar-SA"/>
        </w:rPr>
        <w:pPrChange w:id="3" w:author="文印室:文印室打字套红" w:date="2024-10-18T10:43:34Z">
          <w:pPr>
            <w:pStyle w:val="2"/>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pPr>
        </w:pPrChange>
      </w:pPr>
      <w:r>
        <w:rPr>
          <w:rFonts w:hint="eastAsia" w:ascii="黑体" w:hAnsi="黑体" w:eastAsia="黑体" w:cs="黑体"/>
          <w:b w:val="0"/>
          <w:kern w:val="2"/>
          <w:sz w:val="32"/>
          <w:szCs w:val="32"/>
          <w:lang w:val="en-US" w:eastAsia="zh-CN" w:bidi="ar-SA"/>
        </w:rPr>
        <w:t>第十条</w:t>
      </w:r>
      <w:r>
        <w:rPr>
          <w:rFonts w:hint="eastAsia" w:ascii="仿宋_GB2312" w:hAnsi="仿宋_GB2312" w:eastAsia="仿宋_GB2312" w:cs="仿宋_GB2312"/>
          <w:b w:val="0"/>
          <w:kern w:val="2"/>
          <w:sz w:val="32"/>
          <w:szCs w:val="32"/>
          <w:lang w:val="en-US" w:eastAsia="zh-CN" w:bidi="ar-SA"/>
        </w:rPr>
        <w:t xml:space="preserve">  不予处罚是指行为违反了行政管理秩序，但依法不给予行政处罚。</w:t>
      </w:r>
    </w:p>
    <w:p w14:paraId="5FE2FCE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kern w:val="2"/>
          <w:sz w:val="32"/>
          <w:szCs w:val="32"/>
          <w:lang w:val="en-US" w:eastAsia="zh-CN" w:bidi="ar-SA"/>
        </w:rPr>
        <w:pPrChange w:id="4" w:author="文印室:文印室打字套红" w:date="2024-10-18T10:43:34Z">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pPr>
        </w:pPrChange>
      </w:pPr>
      <w:r>
        <w:rPr>
          <w:rFonts w:hint="eastAsia" w:ascii="仿宋_GB2312" w:hAnsi="仿宋_GB2312" w:eastAsia="仿宋_GB2312" w:cs="仿宋_GB2312"/>
          <w:b w:val="0"/>
          <w:kern w:val="2"/>
          <w:sz w:val="32"/>
          <w:szCs w:val="32"/>
          <w:lang w:val="en-US" w:eastAsia="zh-CN" w:bidi="ar-SA"/>
        </w:rPr>
        <w:t>减轻处罚是指在法定最轻处罚种类和最小处罚幅度以下给予处罚。</w:t>
      </w:r>
    </w:p>
    <w:p w14:paraId="17B880A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kern w:val="2"/>
          <w:sz w:val="32"/>
          <w:szCs w:val="32"/>
          <w:lang w:val="en-US" w:eastAsia="zh-CN" w:bidi="ar-SA"/>
        </w:rPr>
        <w:pPrChange w:id="5" w:author="文印室:文印室打字套红" w:date="2024-10-18T10:43:34Z">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pPr>
        </w:pPrChange>
      </w:pPr>
      <w:r>
        <w:rPr>
          <w:rFonts w:hint="eastAsia" w:ascii="仿宋_GB2312" w:hAnsi="仿宋_GB2312" w:eastAsia="仿宋_GB2312" w:cs="仿宋_GB2312"/>
          <w:b w:val="0"/>
          <w:kern w:val="2"/>
          <w:sz w:val="32"/>
          <w:szCs w:val="32"/>
          <w:lang w:val="en-US" w:eastAsia="zh-CN" w:bidi="ar-SA"/>
        </w:rPr>
        <w:t>从轻处罚是指在法定处罚种类和幅度内，适用较轻种类或者幅度的处罚。</w:t>
      </w:r>
    </w:p>
    <w:p w14:paraId="235E88F0">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十一</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有下列情形之一的，</w:t>
      </w:r>
      <w:r>
        <w:rPr>
          <w:rFonts w:hint="eastAsia" w:ascii="仿宋_GB2312" w:hAnsi="仿宋_GB2312" w:eastAsia="仿宋_GB2312" w:cs="仿宋_GB2312"/>
          <w:sz w:val="32"/>
          <w:szCs w:val="32"/>
          <w:lang w:eastAsia="zh-CN"/>
        </w:rPr>
        <w:t>依法</w:t>
      </w:r>
      <w:r>
        <w:rPr>
          <w:rFonts w:hint="eastAsia" w:ascii="仿宋_GB2312" w:hAnsi="仿宋_GB2312" w:eastAsia="仿宋_GB2312" w:cs="仿宋_GB2312"/>
          <w:sz w:val="32"/>
          <w:szCs w:val="32"/>
        </w:rPr>
        <w:t>不予</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处罚：</w:t>
      </w:r>
    </w:p>
    <w:p w14:paraId="515072FD">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（一）违法行为轻微并及时改正，没有造成危害后果的，不予行政处罚；</w:t>
      </w:r>
    </w:p>
    <w:p w14:paraId="4BDC7EC4">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（二）除法律、行政法规另有规定的情形外，当事人有证据足以证明没有主观过错的，不予行政处罚；</w:t>
      </w:r>
    </w:p>
    <w:p w14:paraId="1672C26E">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（三）精神病人、智力残疾人在不能辨认或者不能控制自己行为时有违法行为的，不予行政处罚，但应当责令其监护人严加看管和治疗；</w:t>
      </w:r>
    </w:p>
    <w:p w14:paraId="729ACA1A">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（四）不满十四周岁的未成年人有违法行为的，不予行政处罚，但应责令监护人加以管教；</w:t>
      </w:r>
    </w:p>
    <w:p w14:paraId="64569FAB">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（五）其他依法不予行政处罚的情形。</w:t>
      </w:r>
    </w:p>
    <w:p w14:paraId="2A776614">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违法行为在二年内未被发现的，不再给予行政处罚；涉及公民生命健康安全且有危害后果的，期限延长至五年。法律另有规定的除外。</w:t>
      </w:r>
    </w:p>
    <w:p w14:paraId="7BF020DB">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对当事人的违法行为依法不予行政处罚的，执法部门应当对当事人进行教育。</w:t>
      </w:r>
    </w:p>
    <w:p w14:paraId="30E55E36">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eastAsia="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十二</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初次违法且危害后果轻微并及时改正的，可以不予行政处罚</w:t>
      </w:r>
      <w:r>
        <w:rPr>
          <w:rFonts w:hint="eastAsia" w:ascii="仿宋_GB2312" w:hAnsi="仿宋_GB2312" w:eastAsia="仿宋_GB2312" w:cs="仿宋_GB2312"/>
          <w:sz w:val="32"/>
          <w:szCs w:val="32"/>
          <w:lang w:eastAsia="zh-CN"/>
        </w:rPr>
        <w:t>。</w:t>
      </w:r>
    </w:p>
    <w:p w14:paraId="656A74E5">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十三</w:t>
      </w:r>
      <w:r>
        <w:rPr>
          <w:rFonts w:hint="eastAsia" w:ascii="黑体" w:hAnsi="黑体" w:eastAsia="黑体" w:cs="黑体"/>
          <w:color w:val="auto"/>
          <w:sz w:val="32"/>
          <w:szCs w:val="32"/>
        </w:rPr>
        <w:t xml:space="preserve">条 </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有下列情形之一，应当</w:t>
      </w:r>
      <w:r>
        <w:rPr>
          <w:rFonts w:hint="eastAsia" w:ascii="仿宋_GB2312" w:hAnsi="仿宋_GB2312" w:eastAsia="仿宋_GB2312" w:cs="仿宋_GB2312"/>
          <w:color w:val="auto"/>
          <w:sz w:val="32"/>
          <w:szCs w:val="32"/>
          <w:lang w:eastAsia="zh-CN"/>
        </w:rPr>
        <w:t>依法</w:t>
      </w:r>
      <w:r>
        <w:rPr>
          <w:rFonts w:hint="eastAsia" w:ascii="仿宋_GB2312" w:hAnsi="仿宋_GB2312" w:eastAsia="仿宋_GB2312" w:cs="仿宋_GB2312"/>
          <w:color w:val="auto"/>
          <w:sz w:val="32"/>
          <w:szCs w:val="32"/>
        </w:rPr>
        <w:t>从轻或者减轻行政处罚：</w:t>
      </w:r>
    </w:p>
    <w:p w14:paraId="2412A1F9">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（一）主动消除或者减轻违法行为危害后果的；</w:t>
      </w:r>
    </w:p>
    <w:p w14:paraId="5F0A614A">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（二）受他人胁迫或者诱骗实施违法行为的；</w:t>
      </w:r>
    </w:p>
    <w:p w14:paraId="6498BDFB">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（三）主动供述</w:t>
      </w:r>
      <w:r>
        <w:rPr>
          <w:rFonts w:hint="eastAsia" w:ascii="仿宋_GB2312" w:hAnsi="仿宋_GB2312" w:eastAsia="仿宋_GB2312" w:cs="仿宋_GB2312"/>
          <w:color w:val="auto"/>
          <w:sz w:val="32"/>
          <w:szCs w:val="32"/>
          <w:lang w:eastAsia="zh-CN"/>
        </w:rPr>
        <w:t>执法部门</w:t>
      </w:r>
      <w:r>
        <w:rPr>
          <w:rFonts w:hint="eastAsia" w:ascii="仿宋_GB2312" w:hAnsi="仿宋_GB2312" w:eastAsia="仿宋_GB2312" w:cs="仿宋_GB2312"/>
          <w:color w:val="auto"/>
          <w:sz w:val="32"/>
          <w:szCs w:val="32"/>
        </w:rPr>
        <w:t>尚未掌握的违法行为的；</w:t>
      </w:r>
    </w:p>
    <w:p w14:paraId="1DE38F5A">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（四）配合</w:t>
      </w:r>
      <w:r>
        <w:rPr>
          <w:rFonts w:hint="eastAsia" w:ascii="仿宋_GB2312" w:hAnsi="仿宋_GB2312" w:eastAsia="仿宋_GB2312" w:cs="仿宋_GB2312"/>
          <w:color w:val="auto"/>
          <w:sz w:val="32"/>
          <w:szCs w:val="32"/>
          <w:lang w:eastAsia="zh-CN"/>
        </w:rPr>
        <w:t>执法部门</w:t>
      </w:r>
      <w:r>
        <w:rPr>
          <w:rFonts w:hint="eastAsia" w:ascii="仿宋_GB2312" w:hAnsi="仿宋_GB2312" w:eastAsia="仿宋_GB2312" w:cs="仿宋_GB2312"/>
          <w:color w:val="auto"/>
          <w:sz w:val="32"/>
          <w:szCs w:val="32"/>
        </w:rPr>
        <w:t>查处违法行为有立功表现的；</w:t>
      </w:r>
    </w:p>
    <w:p w14:paraId="3E6AFEDC">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（五）已满十四周岁不满十八周岁的未成年人有违法行为的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p>
    <w:p w14:paraId="0FE192CA">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pPr>
      <w:r>
        <w:rPr>
          <w:rFonts w:hint="eastAsia" w:ascii="仿宋_GB2312" w:hAnsi="仿宋_GB2312" w:eastAsia="仿宋_GB2312" w:cs="仿宋_GB2312"/>
          <w:color w:val="auto"/>
          <w:sz w:val="32"/>
          <w:szCs w:val="32"/>
        </w:rPr>
        <w:t>（六）法律、法规、规章规定其他应当从轻或者减轻行政处罚的。</w:t>
      </w:r>
    </w:p>
    <w:p w14:paraId="49DF2E61">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 xml:space="preserve"> 有下列情形之一，可以</w:t>
      </w:r>
      <w:r>
        <w:rPr>
          <w:rFonts w:hint="eastAsia" w:ascii="仿宋_GB2312" w:hAnsi="仿宋_GB2312" w:eastAsia="仿宋_GB2312" w:cs="仿宋_GB2312"/>
          <w:color w:val="auto"/>
          <w:sz w:val="32"/>
          <w:szCs w:val="32"/>
          <w:lang w:eastAsia="zh-CN"/>
        </w:rPr>
        <w:t>依法</w:t>
      </w:r>
      <w:r>
        <w:rPr>
          <w:rFonts w:hint="eastAsia" w:ascii="仿宋_GB2312" w:hAnsi="仿宋_GB2312" w:eastAsia="仿宋_GB2312" w:cs="仿宋_GB2312"/>
          <w:color w:val="auto"/>
          <w:sz w:val="32"/>
          <w:szCs w:val="32"/>
        </w:rPr>
        <w:t>从轻或者减轻处罚：</w:t>
      </w:r>
    </w:p>
    <w:p w14:paraId="5F8E29BB">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（一）尚未完全丧失辨认或者控制自己行为能力的精神病人、智力残疾人有违法行为的；</w:t>
      </w:r>
    </w:p>
    <w:p w14:paraId="5EBF07DC">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（二）因身体残疾或重大疾病或者家庭重大变故等，生活确有困难的；</w:t>
      </w:r>
    </w:p>
    <w:p w14:paraId="0CE3FCE8">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（三）社会影响和危害后果较小并及时改正的；</w:t>
      </w:r>
    </w:p>
    <w:p w14:paraId="7FA41463">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（四）积极配合调查，如实供述违法事实的；</w:t>
      </w:r>
    </w:p>
    <w:p w14:paraId="13AF48D0">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（五）在共同违法中起次要或辅助作用的；</w:t>
      </w:r>
    </w:p>
    <w:p w14:paraId="1E727908">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（六）其他依法可以从轻或减轻处罚的。</w:t>
      </w:r>
    </w:p>
    <w:p w14:paraId="365652AA">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行政执法人员在对违法行为调查取证时，应当全面、客观、公正地收集相关证据材料，能够支持案件情节的定级以及不予、从轻、减轻处罚的结论，并体现在相应的执法文书中。</w:t>
      </w:r>
    </w:p>
    <w:p w14:paraId="601D1CA6">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对同一案件的多个违法当事人实施行政处罚时，应当区分不同情节及其在违法活动中所起的作用，分别确定相应的处罚种类和幅度。</w:t>
      </w:r>
    </w:p>
    <w:p w14:paraId="7891BB38">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对违法事实、性质、情节以及社会危害程度基本相同或者相似的违法行为，适用的处罚种类和幅度应当基本相当或者相似。 </w:t>
      </w:r>
    </w:p>
    <w:p w14:paraId="506A7036">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十八</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对依法应当并处行政处罚的，应当实施并处；依法可以并处的，应当明确是否并处以及并处的具体适用情形。</w:t>
      </w:r>
    </w:p>
    <w:p w14:paraId="52725931">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十九</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有下列情形之一，</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 xml:space="preserve">作出行政处罚决定之前，应当进行法制审核；未经法制审核或者审核未通过的，不得作出决定： </w:t>
      </w:r>
    </w:p>
    <w:p w14:paraId="183C81C2">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（一）</w:t>
      </w:r>
      <w:r>
        <w:rPr>
          <w:rFonts w:hint="eastAsia" w:ascii="仿宋_GB2312" w:hAnsi="仿宋_GB2312" w:eastAsia="仿宋_GB2312" w:cs="仿宋_GB2312"/>
          <w:color w:val="auto"/>
          <w:sz w:val="32"/>
          <w:szCs w:val="32"/>
        </w:rPr>
        <w:t>直接关系当事人或者第三人重大权益，</w:t>
      </w:r>
      <w:r>
        <w:rPr>
          <w:rFonts w:hint="eastAsia" w:ascii="仿宋_GB2312" w:hAnsi="仿宋_GB2312" w:eastAsia="仿宋_GB2312" w:cs="仿宋_GB2312"/>
          <w:color w:val="auto"/>
          <w:kern w:val="0"/>
          <w:sz w:val="32"/>
          <w:szCs w:val="32"/>
          <w:shd w:val="clear" w:color="auto" w:fill="FFFFFF"/>
        </w:rPr>
        <w:t>经</w:t>
      </w:r>
      <w:r>
        <w:rPr>
          <w:rFonts w:hint="eastAsia" w:ascii="仿宋_GB2312" w:hAnsi="仿宋_GB2312" w:eastAsia="仿宋_GB2312" w:cs="仿宋_GB2312"/>
          <w:color w:val="auto"/>
          <w:kern w:val="0"/>
          <w:sz w:val="32"/>
          <w:szCs w:val="32"/>
          <w:shd w:val="clear" w:color="auto" w:fill="FFFFFF"/>
          <w:lang w:eastAsia="zh-CN"/>
        </w:rPr>
        <w:t>过</w:t>
      </w:r>
      <w:r>
        <w:rPr>
          <w:rFonts w:hint="eastAsia" w:ascii="仿宋_GB2312" w:hAnsi="仿宋_GB2312" w:eastAsia="仿宋_GB2312" w:cs="仿宋_GB2312"/>
          <w:color w:val="auto"/>
          <w:kern w:val="0"/>
          <w:sz w:val="32"/>
          <w:szCs w:val="32"/>
          <w:shd w:val="clear" w:color="auto" w:fill="FFFFFF"/>
        </w:rPr>
        <w:t>听证程序</w:t>
      </w:r>
      <w:r>
        <w:rPr>
          <w:rFonts w:hint="eastAsia" w:ascii="仿宋_GB2312" w:hAnsi="仿宋_GB2312" w:eastAsia="仿宋_GB2312" w:cs="仿宋_GB2312"/>
          <w:color w:val="auto"/>
          <w:kern w:val="0"/>
          <w:sz w:val="32"/>
          <w:szCs w:val="32"/>
          <w:shd w:val="clear" w:color="auto" w:fill="FFFFFF"/>
          <w:lang w:eastAsia="zh-CN"/>
        </w:rPr>
        <w:t>的</w:t>
      </w:r>
      <w:r>
        <w:rPr>
          <w:rFonts w:hint="eastAsia" w:ascii="仿宋_GB2312" w:hAnsi="仿宋_GB2312" w:eastAsia="仿宋_GB2312" w:cs="仿宋_GB2312"/>
          <w:color w:val="auto"/>
          <w:kern w:val="0"/>
          <w:sz w:val="32"/>
          <w:szCs w:val="32"/>
          <w:shd w:val="clear" w:color="auto" w:fill="FFFFFF"/>
        </w:rPr>
        <w:t>；</w:t>
      </w:r>
    </w:p>
    <w:p w14:paraId="4B3B2E2C">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（二</w:t>
      </w:r>
      <w:r>
        <w:rPr>
          <w:rFonts w:hint="eastAsia" w:ascii="仿宋_GB2312" w:hAnsi="仿宋_GB2312" w:eastAsia="仿宋_GB2312" w:cs="仿宋_GB2312"/>
          <w:kern w:val="0"/>
          <w:sz w:val="32"/>
          <w:szCs w:val="32"/>
          <w:shd w:val="clear" w:color="auto" w:fill="FFFFFF"/>
        </w:rPr>
        <w:t>）拟作出降低资质等级、吊销许可证件、责令停产停业、责令关闭、限制从业的行政处罚决定的；</w:t>
      </w:r>
    </w:p>
    <w:p w14:paraId="6DC109D4">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（三）拟作出查封场所、设施或者扣押的行政强制决定的；</w:t>
      </w:r>
    </w:p>
    <w:p w14:paraId="0A720A91">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（四）拟对公民处以10000元以上的罚款，对法人或者其他组织处以100000元以上罚款的；</w:t>
      </w:r>
    </w:p>
    <w:p w14:paraId="28ADC2EF">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（五）没收违法所得数额或者没收非法财物价值相当于第四项规定的；</w:t>
      </w:r>
    </w:p>
    <w:p w14:paraId="540902DD">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（六）可能造成重大社会影响或者引发社会风险的；</w:t>
      </w:r>
    </w:p>
    <w:p w14:paraId="78AC6976">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（七）其他涉及重大公共利益或有重大疑难、涉及多个法律关系，报经执法机关主要负责人同意的；</w:t>
      </w:r>
    </w:p>
    <w:p w14:paraId="76222B96">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（八）法律、法规规定应当进行法制审核的其他情形。</w:t>
      </w:r>
    </w:p>
    <w:p w14:paraId="3B8CAB8B">
      <w:pPr>
        <w:keepNext w:val="0"/>
        <w:keepLines w:val="0"/>
        <w:pageBreakBefore w:val="0"/>
        <w:widowControl w:val="0"/>
        <w:numPr>
          <w:ilvl w:val="255"/>
          <w:numId w:val="0"/>
        </w:numP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有下列情形之一的，应当</w:t>
      </w:r>
      <w:r>
        <w:rPr>
          <w:rFonts w:hint="eastAsia" w:ascii="仿宋_GB2312" w:hAnsi="仿宋_GB2312" w:eastAsia="仿宋_GB2312" w:cs="仿宋_GB2312"/>
          <w:sz w:val="32"/>
          <w:szCs w:val="32"/>
          <w:lang w:eastAsia="zh-CN"/>
        </w:rPr>
        <w:t>经</w:t>
      </w:r>
      <w:r>
        <w:rPr>
          <w:rFonts w:hint="eastAsia" w:ascii="仿宋_GB2312" w:hAnsi="仿宋_GB2312" w:eastAsia="仿宋_GB2312" w:cs="仿宋_GB2312"/>
          <w:sz w:val="32"/>
          <w:szCs w:val="32"/>
        </w:rPr>
        <w:t>重大案件集体讨论会议决定：</w:t>
      </w:r>
    </w:p>
    <w:p w14:paraId="00F32D9E">
      <w:pPr>
        <w:pStyle w:val="15"/>
        <w:keepNext w:val="0"/>
        <w:keepLines w:val="0"/>
        <w:pageBreakBefore w:val="0"/>
        <w:widowControl w:val="0"/>
        <w:numPr>
          <w:ilvl w:val="255"/>
          <w:numId w:val="0"/>
        </w:numPr>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（一）拟作出降低资质等级、吊销许可证件、责令停产停业、责令关闭、限制从业行政处罚决定的；</w:t>
      </w:r>
    </w:p>
    <w:p w14:paraId="4D46DE37">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（二）拟对公民处以10000元以上的罚款，对法人或者其他组织处以100000元以上罚款的；</w:t>
      </w:r>
    </w:p>
    <w:p w14:paraId="7140203B">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eastAsia="zh-CN"/>
        </w:rPr>
        <w:t>（三）</w:t>
      </w:r>
      <w:r>
        <w:rPr>
          <w:rFonts w:hint="eastAsia" w:ascii="仿宋_GB2312" w:hAnsi="仿宋_GB2312" w:eastAsia="仿宋_GB2312" w:cs="仿宋_GB2312"/>
          <w:kern w:val="0"/>
          <w:sz w:val="32"/>
          <w:szCs w:val="32"/>
          <w:shd w:val="clear" w:color="auto" w:fill="FFFFFF"/>
        </w:rPr>
        <w:t>没收违法所得数额或者没收非法财物价值相当于第</w:t>
      </w:r>
      <w:r>
        <w:rPr>
          <w:rFonts w:hint="eastAsia" w:ascii="仿宋_GB2312" w:hAnsi="仿宋_GB2312" w:eastAsia="仿宋_GB2312" w:cs="仿宋_GB2312"/>
          <w:kern w:val="0"/>
          <w:sz w:val="32"/>
          <w:szCs w:val="32"/>
          <w:shd w:val="clear" w:color="auto" w:fill="FFFFFF"/>
          <w:lang w:eastAsia="zh-CN"/>
        </w:rPr>
        <w:t>二</w:t>
      </w:r>
      <w:r>
        <w:rPr>
          <w:rFonts w:hint="eastAsia" w:ascii="仿宋_GB2312" w:hAnsi="仿宋_GB2312" w:eastAsia="仿宋_GB2312" w:cs="仿宋_GB2312"/>
          <w:kern w:val="0"/>
          <w:sz w:val="32"/>
          <w:szCs w:val="32"/>
          <w:shd w:val="clear" w:color="auto" w:fill="FFFFFF"/>
        </w:rPr>
        <w:t>项规定的；</w:t>
      </w:r>
    </w:p>
    <w:p w14:paraId="50844D36">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eastAsia="zh-CN"/>
        </w:rPr>
        <w:t>四</w:t>
      </w:r>
      <w:r>
        <w:rPr>
          <w:rFonts w:hint="eastAsia" w:ascii="仿宋_GB2312" w:hAnsi="仿宋_GB2312" w:eastAsia="仿宋_GB2312" w:cs="仿宋_GB2312"/>
          <w:kern w:val="0"/>
          <w:sz w:val="32"/>
          <w:szCs w:val="32"/>
          <w:shd w:val="clear" w:color="auto" w:fill="FFFFFF"/>
        </w:rPr>
        <w:t>）认定事实和证据争议较大的，适用法律、法规和规章有较大异议的，违法行为较恶劣或者危害较大的，或者复杂、疑难案件的执法管辖区域不明确或有争议的；</w:t>
      </w:r>
    </w:p>
    <w:p w14:paraId="08CA5E0D">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auto"/>
        </w:rPr>
      </w:pPr>
      <w:r>
        <w:rPr>
          <w:rFonts w:hint="eastAsia" w:ascii="仿宋_GB2312" w:hAnsi="仿宋_GB2312" w:eastAsia="仿宋_GB2312" w:cs="仿宋_GB2312"/>
          <w:color w:val="auto"/>
          <w:kern w:val="0"/>
          <w:sz w:val="32"/>
          <w:szCs w:val="32"/>
          <w:shd w:val="clear" w:color="auto" w:fill="auto"/>
        </w:rPr>
        <w:t>（</w:t>
      </w:r>
      <w:r>
        <w:rPr>
          <w:rFonts w:hint="eastAsia" w:ascii="仿宋_GB2312" w:hAnsi="仿宋_GB2312" w:eastAsia="仿宋_GB2312" w:cs="仿宋_GB2312"/>
          <w:color w:val="auto"/>
          <w:kern w:val="0"/>
          <w:sz w:val="32"/>
          <w:szCs w:val="32"/>
          <w:shd w:val="clear" w:color="auto" w:fill="auto"/>
          <w:lang w:eastAsia="zh-CN"/>
        </w:rPr>
        <w:t>五</w:t>
      </w:r>
      <w:r>
        <w:rPr>
          <w:rFonts w:hint="eastAsia" w:ascii="仿宋_GB2312" w:hAnsi="仿宋_GB2312" w:eastAsia="仿宋_GB2312" w:cs="仿宋_GB2312"/>
          <w:color w:val="auto"/>
          <w:kern w:val="0"/>
          <w:sz w:val="32"/>
          <w:szCs w:val="32"/>
          <w:shd w:val="clear" w:color="auto" w:fill="auto"/>
        </w:rPr>
        <w:t>）对情节复杂或者重大违法行为给予行政处罚的其他情形。</w:t>
      </w:r>
    </w:p>
    <w:p w14:paraId="6B519C70">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kern w:val="0"/>
          <w:sz w:val="32"/>
          <w:szCs w:val="32"/>
          <w:shd w:val="clear" w:color="auto" w:fill="FFFFFF"/>
          <w:lang w:val="en-US" w:eastAsia="zh-CN" w:bidi="ar-SA"/>
        </w:rPr>
      </w:pPr>
      <w:r>
        <w:rPr>
          <w:rFonts w:hint="eastAsia" w:ascii="黑体" w:hAnsi="黑体" w:eastAsia="黑体" w:cs="黑体"/>
          <w:b w:val="0"/>
          <w:kern w:val="0"/>
          <w:sz w:val="32"/>
          <w:szCs w:val="32"/>
          <w:shd w:val="clear" w:color="auto" w:fill="FFFFFF"/>
          <w:lang w:val="en-US" w:eastAsia="zh-CN" w:bidi="ar-SA"/>
        </w:rPr>
        <w:t>第二十一条</w:t>
      </w:r>
      <w:r>
        <w:rPr>
          <w:rFonts w:hint="eastAsia" w:ascii="仿宋_GB2312" w:hAnsi="仿宋_GB2312" w:eastAsia="仿宋_GB2312" w:cs="仿宋_GB2312"/>
          <w:b w:val="0"/>
          <w:kern w:val="0"/>
          <w:sz w:val="32"/>
          <w:szCs w:val="32"/>
          <w:shd w:val="clear" w:color="auto" w:fill="FFFFFF"/>
          <w:lang w:val="en-US" w:eastAsia="zh-CN" w:bidi="ar-SA"/>
        </w:rPr>
        <w:t>  在作出下列行政处罚决定前，应当告知当事人有要求举行听证的权利：</w:t>
      </w:r>
    </w:p>
    <w:p w14:paraId="7F4C477E">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kern w:val="0"/>
          <w:sz w:val="32"/>
          <w:szCs w:val="32"/>
          <w:shd w:val="clear" w:color="auto" w:fill="FFFFFF"/>
          <w:lang w:val="en-US" w:eastAsia="zh-CN" w:bidi="ar-SA"/>
        </w:rPr>
      </w:pPr>
      <w:r>
        <w:rPr>
          <w:rFonts w:hint="eastAsia" w:ascii="仿宋_GB2312" w:hAnsi="仿宋_GB2312" w:eastAsia="仿宋_GB2312" w:cs="仿宋_GB2312"/>
          <w:b w:val="0"/>
          <w:kern w:val="0"/>
          <w:sz w:val="32"/>
          <w:szCs w:val="32"/>
          <w:shd w:val="clear" w:color="auto" w:fill="FFFFFF"/>
          <w:lang w:val="en-US" w:eastAsia="zh-CN" w:bidi="ar-SA"/>
        </w:rPr>
        <w:t>（一）责令停产停业、责令关闭、限制从业；</w:t>
      </w:r>
    </w:p>
    <w:p w14:paraId="023CD970">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kern w:val="0"/>
          <w:sz w:val="32"/>
          <w:szCs w:val="32"/>
          <w:shd w:val="clear" w:color="auto" w:fill="FFFFFF"/>
          <w:lang w:val="en-US" w:eastAsia="zh-CN" w:bidi="ar-SA"/>
        </w:rPr>
      </w:pPr>
      <w:r>
        <w:rPr>
          <w:rFonts w:hint="eastAsia" w:ascii="仿宋_GB2312" w:hAnsi="仿宋_GB2312" w:eastAsia="仿宋_GB2312" w:cs="仿宋_GB2312"/>
          <w:b w:val="0"/>
          <w:kern w:val="0"/>
          <w:sz w:val="32"/>
          <w:szCs w:val="32"/>
          <w:shd w:val="clear" w:color="auto" w:fill="FFFFFF"/>
          <w:lang w:val="en-US" w:eastAsia="zh-CN" w:bidi="ar-SA"/>
        </w:rPr>
        <w:t>（二）降低资质等级、吊销许可证件；</w:t>
      </w:r>
    </w:p>
    <w:p w14:paraId="13061C6E">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kern w:val="0"/>
          <w:sz w:val="32"/>
          <w:szCs w:val="32"/>
          <w:shd w:val="clear" w:color="auto" w:fill="FFFFFF"/>
          <w:lang w:val="en-US" w:eastAsia="zh-CN" w:bidi="ar-SA"/>
        </w:rPr>
      </w:pPr>
      <w:r>
        <w:rPr>
          <w:rFonts w:hint="eastAsia" w:ascii="仿宋_GB2312" w:hAnsi="仿宋_GB2312" w:eastAsia="仿宋_GB2312" w:cs="仿宋_GB2312"/>
          <w:b w:val="0"/>
          <w:kern w:val="0"/>
          <w:sz w:val="32"/>
          <w:szCs w:val="32"/>
          <w:shd w:val="clear" w:color="auto" w:fill="FFFFFF"/>
          <w:lang w:val="en-US" w:eastAsia="zh-CN" w:bidi="ar-SA"/>
        </w:rPr>
        <w:t>（三）较大数额罚款；</w:t>
      </w:r>
    </w:p>
    <w:p w14:paraId="29BFB9A4">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kern w:val="0"/>
          <w:sz w:val="32"/>
          <w:szCs w:val="32"/>
          <w:shd w:val="clear" w:color="auto" w:fill="FFFFFF"/>
          <w:lang w:val="en-US" w:eastAsia="zh-CN" w:bidi="ar-SA"/>
        </w:rPr>
      </w:pPr>
      <w:r>
        <w:rPr>
          <w:rFonts w:hint="eastAsia" w:ascii="仿宋_GB2312" w:hAnsi="仿宋_GB2312" w:eastAsia="仿宋_GB2312" w:cs="仿宋_GB2312"/>
          <w:b w:val="0"/>
          <w:kern w:val="0"/>
          <w:sz w:val="32"/>
          <w:szCs w:val="32"/>
          <w:shd w:val="clear" w:color="auto" w:fill="FFFFFF"/>
          <w:lang w:val="en-US" w:eastAsia="zh-CN" w:bidi="ar-SA"/>
        </w:rPr>
        <w:t>（四）没收较大数额违法所得、没收较大价值非法财物；</w:t>
      </w:r>
    </w:p>
    <w:p w14:paraId="4C4A9E6F">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kern w:val="0"/>
          <w:sz w:val="32"/>
          <w:szCs w:val="32"/>
          <w:shd w:val="clear" w:color="auto" w:fill="FFFFFF"/>
          <w:lang w:val="en-US" w:eastAsia="zh-CN" w:bidi="ar-SA"/>
        </w:rPr>
      </w:pPr>
      <w:r>
        <w:rPr>
          <w:rFonts w:hint="eastAsia" w:ascii="仿宋_GB2312" w:hAnsi="仿宋_GB2312" w:eastAsia="仿宋_GB2312" w:cs="仿宋_GB2312"/>
          <w:b w:val="0"/>
          <w:kern w:val="0"/>
          <w:sz w:val="32"/>
          <w:szCs w:val="32"/>
          <w:shd w:val="clear" w:color="auto" w:fill="FFFFFF"/>
          <w:lang w:val="en-US" w:eastAsia="zh-CN" w:bidi="ar-SA"/>
        </w:rPr>
        <w:t>（五）其他较重的行政处罚；</w:t>
      </w:r>
    </w:p>
    <w:p w14:paraId="0AA08A85">
      <w:pPr>
        <w:pStyle w:val="2"/>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ascii="仿宋_GB2312" w:hAnsi="仿宋_GB2312" w:eastAsia="仿宋_GB2312" w:cs="仿宋_GB2312"/>
          <w:b w:val="0"/>
          <w:kern w:val="0"/>
          <w:sz w:val="32"/>
          <w:szCs w:val="32"/>
          <w:shd w:val="clear" w:color="auto" w:fill="FFFFFF"/>
          <w:lang w:val="en-US" w:eastAsia="zh-CN" w:bidi="ar-SA"/>
        </w:rPr>
        <w:pPrChange w:id="6" w:author="文印室:文印室打字套红" w:date="2024-10-18T10:43:43Z">
          <w:pPr>
            <w:pStyle w:val="2"/>
            <w:keepNext/>
            <w:keepLines/>
            <w:pageBreakBefore w:val="0"/>
            <w:widowControl/>
            <w:kinsoku/>
            <w:wordWrap/>
            <w:overflowPunct/>
            <w:topLinePunct w:val="0"/>
            <w:autoSpaceDE/>
            <w:autoSpaceDN/>
            <w:bidi w:val="0"/>
            <w:adjustRightInd/>
            <w:snapToGrid/>
            <w:spacing w:before="0" w:after="0" w:line="600" w:lineRule="exact"/>
            <w:ind w:firstLine="640" w:firstLineChars="200"/>
            <w:textAlignment w:val="auto"/>
          </w:pPr>
        </w:pPrChange>
      </w:pPr>
      <w:r>
        <w:rPr>
          <w:rFonts w:hint="eastAsia" w:ascii="仿宋_GB2312" w:hAnsi="仿宋_GB2312" w:eastAsia="仿宋_GB2312" w:cs="仿宋_GB2312"/>
          <w:b w:val="0"/>
          <w:kern w:val="0"/>
          <w:sz w:val="32"/>
          <w:szCs w:val="32"/>
          <w:shd w:val="clear" w:color="auto" w:fill="FFFFFF"/>
          <w:lang w:val="en-US" w:eastAsia="zh-CN" w:bidi="ar-SA"/>
        </w:rPr>
        <w:t>（六）法律、法规、规章规定的其他情形。</w:t>
      </w:r>
    </w:p>
    <w:p w14:paraId="4FDB4A8C">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color w:val="auto"/>
          <w:sz w:val="32"/>
          <w:szCs w:val="32"/>
          <w:shd w:val="clear" w:color="auto" w:fill="auto"/>
        </w:rPr>
        <w:t>第</w:t>
      </w:r>
      <w:r>
        <w:rPr>
          <w:rFonts w:hint="eastAsia" w:ascii="黑体" w:hAnsi="黑体" w:eastAsia="黑体" w:cs="黑体"/>
          <w:color w:val="auto"/>
          <w:sz w:val="32"/>
          <w:szCs w:val="32"/>
          <w:shd w:val="clear" w:color="auto" w:fill="auto"/>
          <w:lang w:eastAsia="zh-CN"/>
        </w:rPr>
        <w:t>二</w:t>
      </w:r>
      <w:r>
        <w:rPr>
          <w:rFonts w:hint="eastAsia" w:ascii="黑体" w:hAnsi="黑体" w:eastAsia="黑体" w:cs="黑体"/>
          <w:sz w:val="32"/>
          <w:szCs w:val="32"/>
          <w:lang w:eastAsia="zh-CN"/>
        </w:rPr>
        <w:t>十二</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0"/>
          <w:sz w:val="32"/>
          <w:szCs w:val="32"/>
        </w:rPr>
        <w:t>在实施行政处罚时，应当同时责令当事人改正或者限期改正违法行为。</w:t>
      </w:r>
    </w:p>
    <w:p w14:paraId="6FF615A4">
      <w:pPr>
        <w:keepNext w:val="0"/>
        <w:keepLines w:val="0"/>
        <w:pageBreakBefore w:val="0"/>
        <w:widowControl w:val="0"/>
        <w:shd w:val="clear" w:color="auto" w:fill="FFFFFF"/>
        <w:kinsoku/>
        <w:wordWrap/>
        <w:overflowPunct/>
        <w:topLinePunct w:val="0"/>
        <w:autoSpaceDE/>
        <w:autoSpaceDN/>
        <w:bidi w:val="0"/>
        <w:spacing w:line="600" w:lineRule="exact"/>
        <w:ind w:firstLine="64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二十三</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行政处罚决定信息应当自决定作出之日起七个工作日内公开。</w:t>
      </w:r>
    </w:p>
    <w:p w14:paraId="203F31EE">
      <w:pPr>
        <w:keepNext w:val="0"/>
        <w:keepLines w:val="0"/>
        <w:pageBreakBefore w:val="0"/>
        <w:widowControl w:val="0"/>
        <w:shd w:val="clear" w:color="auto" w:fill="FFFFFF"/>
        <w:kinsoku/>
        <w:wordWrap/>
        <w:overflowPunct/>
        <w:topLinePunct w:val="0"/>
        <w:autoSpaceDE/>
        <w:autoSpaceDN/>
        <w:bidi w:val="0"/>
        <w:spacing w:line="600" w:lineRule="exact"/>
        <w:ind w:firstLine="640"/>
        <w:jc w:val="both"/>
        <w:textAlignment w:val="auto"/>
        <w:rPr>
          <w:rFonts w:hint="eastAsia" w:eastAsia="仿宋_GB2312"/>
          <w:b w:val="0"/>
          <w:bCs w:val="0"/>
          <w:color w:val="auto"/>
          <w:lang w:eastAsia="zh-CN"/>
        </w:rPr>
      </w:pPr>
      <w:r>
        <w:rPr>
          <w:rFonts w:hint="eastAsia" w:ascii="黑体" w:hAnsi="黑体" w:eastAsia="黑体" w:cs="黑体"/>
          <w:b w:val="0"/>
          <w:bCs w:val="0"/>
          <w:color w:val="auto"/>
          <w:sz w:val="32"/>
          <w:szCs w:val="32"/>
        </w:rPr>
        <w:t>第二十</w:t>
      </w:r>
      <w:r>
        <w:rPr>
          <w:rFonts w:hint="eastAsia" w:ascii="黑体" w:hAnsi="黑体" w:eastAsia="黑体" w:cs="黑体"/>
          <w:b w:val="0"/>
          <w:bCs w:val="0"/>
          <w:color w:val="auto"/>
          <w:sz w:val="32"/>
          <w:szCs w:val="32"/>
          <w:lang w:eastAsia="zh-CN"/>
        </w:rPr>
        <w:t>四</w:t>
      </w:r>
      <w:r>
        <w:rPr>
          <w:rFonts w:hint="eastAsia" w:ascii="黑体" w:hAnsi="黑体" w:eastAsia="黑体" w:cs="黑体"/>
          <w:b w:val="0"/>
          <w:bCs w:val="0"/>
          <w:color w:val="auto"/>
          <w:sz w:val="32"/>
          <w:szCs w:val="32"/>
        </w:rPr>
        <w:t>条</w:t>
      </w:r>
      <w:r>
        <w:rPr>
          <w:rFonts w:hint="eastAsia" w:ascii="仿宋_GB2312" w:hAnsi="仿宋_GB2312" w:eastAsia="仿宋_GB2312" w:cs="仿宋_GB2312"/>
          <w:b w:val="0"/>
          <w:bCs w:val="0"/>
          <w:color w:val="auto"/>
          <w:sz w:val="32"/>
          <w:szCs w:val="32"/>
        </w:rPr>
        <w:t xml:space="preserve">  </w:t>
      </w:r>
      <w:r>
        <w:rPr>
          <w:rFonts w:hint="eastAsia" w:ascii="仿宋_GB2312" w:hAnsi="仿宋_GB2312" w:eastAsia="仿宋_GB2312" w:cs="仿宋_GB2312"/>
          <w:b w:val="0"/>
          <w:bCs w:val="0"/>
          <w:color w:val="auto"/>
          <w:sz w:val="32"/>
          <w:szCs w:val="32"/>
          <w:lang w:eastAsia="zh-CN"/>
        </w:rPr>
        <w:t>在行政执法过程中，发现违法行为涉嫌犯罪的</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应当及时</w:t>
      </w:r>
      <w:r>
        <w:rPr>
          <w:rFonts w:hint="eastAsia" w:ascii="仿宋_GB2312" w:hAnsi="仿宋_GB2312" w:eastAsia="仿宋_GB2312" w:cs="仿宋_GB2312"/>
          <w:b w:val="0"/>
          <w:bCs w:val="0"/>
          <w:color w:val="auto"/>
          <w:sz w:val="32"/>
          <w:szCs w:val="32"/>
          <w:lang w:eastAsia="zh-CN"/>
        </w:rPr>
        <w:t>将相关线索</w:t>
      </w:r>
      <w:r>
        <w:rPr>
          <w:rFonts w:hint="eastAsia" w:ascii="仿宋_GB2312" w:hAnsi="仿宋_GB2312" w:eastAsia="仿宋_GB2312" w:cs="仿宋_GB2312"/>
          <w:b w:val="0"/>
          <w:bCs w:val="0"/>
          <w:color w:val="auto"/>
          <w:sz w:val="32"/>
          <w:szCs w:val="32"/>
        </w:rPr>
        <w:t>移送</w:t>
      </w:r>
      <w:r>
        <w:rPr>
          <w:rFonts w:hint="eastAsia" w:ascii="仿宋_GB2312" w:hAnsi="仿宋_GB2312" w:eastAsia="仿宋_GB2312" w:cs="仿宋_GB2312"/>
          <w:b w:val="0"/>
          <w:bCs w:val="0"/>
          <w:color w:val="auto"/>
          <w:sz w:val="32"/>
          <w:szCs w:val="32"/>
          <w:lang w:eastAsia="zh-CN"/>
        </w:rPr>
        <w:t>司法机关，</w:t>
      </w:r>
      <w:r>
        <w:rPr>
          <w:rFonts w:hint="eastAsia" w:ascii="仿宋_GB2312" w:hAnsi="仿宋_GB2312" w:eastAsia="仿宋_GB2312" w:cs="仿宋_GB2312"/>
          <w:b w:val="0"/>
          <w:bCs w:val="0"/>
          <w:color w:val="auto"/>
          <w:sz w:val="32"/>
          <w:szCs w:val="32"/>
        </w:rPr>
        <w:t>不得以行政处罚代替刑事处罚</w:t>
      </w:r>
      <w:r>
        <w:rPr>
          <w:rFonts w:hint="eastAsia" w:ascii="仿宋_GB2312" w:hAnsi="仿宋_GB2312" w:eastAsia="仿宋_GB2312" w:cs="仿宋_GB2312"/>
          <w:b w:val="0"/>
          <w:bCs w:val="0"/>
          <w:color w:val="auto"/>
          <w:sz w:val="32"/>
          <w:szCs w:val="32"/>
          <w:lang w:eastAsia="zh-CN"/>
        </w:rPr>
        <w:t>。</w:t>
      </w:r>
    </w:p>
    <w:p w14:paraId="17CEBDB0">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rPr>
        <w:t>第二十</w:t>
      </w:r>
      <w:r>
        <w:rPr>
          <w:rFonts w:hint="eastAsia" w:ascii="黑体" w:hAnsi="黑体" w:eastAsia="黑体" w:cs="黑体"/>
          <w:kern w:val="0"/>
          <w:sz w:val="32"/>
          <w:szCs w:val="32"/>
          <w:lang w:eastAsia="zh-CN"/>
        </w:rPr>
        <w:t>五</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sz w:val="32"/>
          <w:szCs w:val="32"/>
          <w:lang w:eastAsia="zh-CN"/>
        </w:rPr>
        <w:t>各级交通运输主管部门及其所属</w:t>
      </w:r>
      <w:r>
        <w:rPr>
          <w:rFonts w:hint="eastAsia" w:ascii="仿宋_GB2312" w:hAnsi="仿宋_GB2312" w:eastAsia="仿宋_GB2312" w:cs="仿宋_GB2312"/>
          <w:sz w:val="32"/>
          <w:szCs w:val="32"/>
          <w:lang w:val="en-US" w:eastAsia="zh-CN"/>
        </w:rPr>
        <w:t>综合</w:t>
      </w:r>
      <w:r>
        <w:rPr>
          <w:rFonts w:hint="eastAsia" w:ascii="仿宋_GB2312" w:hAnsi="仿宋_GB2312" w:eastAsia="仿宋_GB2312" w:cs="仿宋_GB2312"/>
          <w:sz w:val="32"/>
          <w:szCs w:val="32"/>
          <w:lang w:eastAsia="zh-CN"/>
        </w:rPr>
        <w:t>行政执法机构</w:t>
      </w:r>
      <w:r>
        <w:rPr>
          <w:rFonts w:hint="eastAsia" w:ascii="仿宋_GB2312" w:hAnsi="仿宋_GB2312" w:eastAsia="仿宋_GB2312" w:cs="仿宋_GB2312"/>
          <w:sz w:val="32"/>
          <w:szCs w:val="32"/>
        </w:rPr>
        <w:t>应当建立健全行政执法监督机制，通过执法检查、案卷评查、重大案件备案等方式，加强对行使行政处罚裁量权的监督检查。</w:t>
      </w:r>
    </w:p>
    <w:p w14:paraId="46DE8325">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kern w:val="2"/>
          <w:sz w:val="32"/>
          <w:szCs w:val="32"/>
        </w:rPr>
      </w:pPr>
      <w:r>
        <w:rPr>
          <w:rFonts w:hint="eastAsia" w:ascii="黑体" w:hAnsi="黑体" w:eastAsia="黑体" w:cs="黑体"/>
          <w:kern w:val="0"/>
          <w:sz w:val="32"/>
          <w:szCs w:val="32"/>
        </w:rPr>
        <w:t>第二十</w:t>
      </w:r>
      <w:r>
        <w:rPr>
          <w:rFonts w:hint="eastAsia" w:ascii="黑体" w:hAnsi="黑体" w:eastAsia="黑体" w:cs="黑体"/>
          <w:kern w:val="0"/>
          <w:sz w:val="32"/>
          <w:szCs w:val="32"/>
          <w:lang w:eastAsia="zh-CN"/>
        </w:rPr>
        <w:t>六</w:t>
      </w:r>
      <w:r>
        <w:rPr>
          <w:rFonts w:hint="eastAsia" w:ascii="黑体" w:hAnsi="黑体" w:eastAsia="黑体" w:cs="黑体"/>
          <w:kern w:val="0"/>
          <w:sz w:val="32"/>
          <w:szCs w:val="32"/>
        </w:rPr>
        <w:t>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2"/>
          <w:sz w:val="32"/>
          <w:szCs w:val="32"/>
          <w:lang w:eastAsia="zh-CN"/>
        </w:rPr>
        <w:t>交通运输主管部门及其所属</w:t>
      </w:r>
      <w:r>
        <w:rPr>
          <w:rFonts w:hint="eastAsia" w:ascii="仿宋_GB2312" w:hAnsi="仿宋_GB2312" w:eastAsia="仿宋_GB2312" w:cs="仿宋_GB2312"/>
          <w:kern w:val="2"/>
          <w:sz w:val="32"/>
          <w:szCs w:val="32"/>
          <w:lang w:val="en-US" w:eastAsia="zh-CN"/>
        </w:rPr>
        <w:t>综合</w:t>
      </w:r>
      <w:r>
        <w:rPr>
          <w:rFonts w:hint="eastAsia" w:ascii="仿宋_GB2312" w:hAnsi="仿宋_GB2312" w:eastAsia="仿宋_GB2312" w:cs="仿宋_GB2312"/>
          <w:kern w:val="2"/>
          <w:sz w:val="32"/>
          <w:szCs w:val="32"/>
          <w:lang w:eastAsia="zh-CN"/>
        </w:rPr>
        <w:t>行政执法机构</w:t>
      </w:r>
      <w:r>
        <w:rPr>
          <w:rFonts w:hint="eastAsia" w:ascii="仿宋_GB2312" w:hAnsi="仿宋_GB2312" w:eastAsia="仿宋_GB2312" w:cs="仿宋_GB2312"/>
          <w:kern w:val="2"/>
          <w:sz w:val="32"/>
          <w:szCs w:val="32"/>
        </w:rPr>
        <w:t>发现本单位行使行政处罚裁量权不当或违法的，应当及时主动纠正。</w:t>
      </w:r>
    </w:p>
    <w:p w14:paraId="685E7E5C">
      <w:pPr>
        <w:keepNext w:val="0"/>
        <w:keepLines w:val="0"/>
        <w:pageBreakBefore w:val="0"/>
        <w:widowControl w:val="0"/>
        <w:shd w:val="clear" w:color="auto" w:fill="FFFFFF"/>
        <w:kinsoku/>
        <w:wordWrap/>
        <w:overflowPunct/>
        <w:topLinePunct w:val="0"/>
        <w:autoSpaceDE/>
        <w:autoSpaceDN/>
        <w:bidi w:val="0"/>
        <w:spacing w:line="600" w:lineRule="exact"/>
        <w:ind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上级交通运输主管部门发现下级交通运输主管部门及其综合行政执法机构行使行政处罚裁量权不当或违法的，应当责令限期纠正或予以通报。</w:t>
      </w:r>
    </w:p>
    <w:p w14:paraId="1B7C13BD">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二十七</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各级交通运输主管部门及其所属行政执法机构</w:t>
      </w:r>
      <w:r>
        <w:rPr>
          <w:rFonts w:hint="eastAsia" w:ascii="仿宋_GB2312" w:hAnsi="仿宋_GB2312" w:eastAsia="仿宋_GB2312" w:cs="仿宋_GB2312"/>
          <w:sz w:val="32"/>
          <w:szCs w:val="32"/>
        </w:rPr>
        <w:t>在实施行政处罚过程中，对不适当的</w:t>
      </w:r>
      <w:r>
        <w:rPr>
          <w:rFonts w:hint="eastAsia" w:ascii="仿宋_GB2312" w:hAnsi="仿宋_GB2312" w:eastAsia="仿宋_GB2312" w:cs="仿宋_GB2312"/>
          <w:sz w:val="32"/>
          <w:szCs w:val="32"/>
          <w:lang w:eastAsia="zh-CN"/>
        </w:rPr>
        <w:t>《规则》和《基准》内容</w:t>
      </w:r>
      <w:r>
        <w:rPr>
          <w:rFonts w:hint="eastAsia" w:ascii="仿宋_GB2312" w:hAnsi="仿宋_GB2312" w:eastAsia="仿宋_GB2312" w:cs="仿宋_GB2312"/>
          <w:sz w:val="32"/>
          <w:szCs w:val="32"/>
        </w:rPr>
        <w:t>应当及时提出修改建议。</w:t>
      </w:r>
    </w:p>
    <w:p w14:paraId="522E24F2">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二十八</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《基准》中以上、以下均包含本数。《基准》中对期限内违法行为次数的累计，自违法行为发生之日起的</w:t>
      </w:r>
      <w:r>
        <w:rPr>
          <w:rFonts w:hint="eastAsia" w:ascii="仿宋_GB2312" w:hAnsi="仿宋_GB2312" w:eastAsia="仿宋_GB2312" w:cs="仿宋_GB2312"/>
          <w:sz w:val="32"/>
          <w:szCs w:val="32"/>
          <w:lang w:val="en-US" w:eastAsia="zh-CN"/>
        </w:rPr>
        <w:t>一个自然年</w:t>
      </w:r>
      <w:r>
        <w:rPr>
          <w:rFonts w:hint="eastAsia" w:ascii="仿宋_GB2312" w:hAnsi="仿宋_GB2312" w:eastAsia="仿宋_GB2312" w:cs="仿宋_GB2312"/>
          <w:sz w:val="32"/>
          <w:szCs w:val="32"/>
        </w:rPr>
        <w:t>计算。</w:t>
      </w:r>
    </w:p>
    <w:p w14:paraId="48024A27">
      <w:pPr>
        <w:keepNext w:val="0"/>
        <w:keepLines w:val="0"/>
        <w:pageBreakBefore w:val="0"/>
        <w:widowControl w:val="0"/>
        <w:shd w:val="clear" w:color="auto" w:fill="FFFFFF"/>
        <w:kinsoku/>
        <w:wordWrap/>
        <w:overflowPunct/>
        <w:topLinePunct w:val="0"/>
        <w:autoSpaceDE/>
        <w:autoSpaceDN/>
        <w:bidi w:val="0"/>
        <w:spacing w:line="600" w:lineRule="exact"/>
        <w:ind w:firstLine="640"/>
        <w:jc w:val="both"/>
        <w:textAlignment w:val="auto"/>
        <w:rPr>
          <w:rFonts w:hint="eastAsia"/>
        </w:rPr>
      </w:pPr>
      <w:r>
        <w:rPr>
          <w:rFonts w:hint="eastAsia" w:ascii="黑体" w:hAnsi="黑体" w:eastAsia="黑体" w:cs="黑体"/>
          <w:kern w:val="0"/>
          <w:sz w:val="32"/>
          <w:szCs w:val="32"/>
        </w:rPr>
        <w:t>第二十</w:t>
      </w:r>
      <w:r>
        <w:rPr>
          <w:rFonts w:hint="eastAsia" w:ascii="黑体" w:hAnsi="黑体" w:eastAsia="黑体" w:cs="黑体"/>
          <w:kern w:val="0"/>
          <w:sz w:val="32"/>
          <w:szCs w:val="32"/>
          <w:lang w:eastAsia="zh-CN"/>
        </w:rPr>
        <w:t>九</w:t>
      </w:r>
      <w:r>
        <w:rPr>
          <w:rFonts w:hint="eastAsia" w:ascii="黑体" w:hAnsi="黑体" w:eastAsia="黑体" w:cs="黑体"/>
          <w:kern w:val="0"/>
          <w:sz w:val="32"/>
          <w:szCs w:val="32"/>
        </w:rPr>
        <w:t>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z w:val="32"/>
          <w:szCs w:val="32"/>
        </w:rPr>
        <w:t>法律、法规、规章对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和《基准》相关条款有具体规定的，从其规定。</w:t>
      </w:r>
    </w:p>
    <w:p w14:paraId="244F77A5">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Change w:id="7" w:author="文印室:文印室打字套红" w:date="2024-10-18T10:43:42Z">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pPr>
        </w:pPrChange>
      </w:pPr>
      <w:r>
        <w:rPr>
          <w:rFonts w:hint="eastAsia" w:ascii="黑体" w:hAnsi="黑体" w:eastAsia="黑体" w:cs="黑体"/>
          <w:sz w:val="32"/>
          <w:szCs w:val="32"/>
        </w:rPr>
        <w:t>第</w:t>
      </w:r>
      <w:r>
        <w:rPr>
          <w:rFonts w:hint="eastAsia" w:ascii="黑体" w:hAnsi="黑体" w:eastAsia="黑体" w:cs="黑体"/>
          <w:sz w:val="32"/>
          <w:szCs w:val="32"/>
          <w:lang w:eastAsia="zh-CN"/>
        </w:rPr>
        <w:t>三十</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和《基准》由内蒙古自治区交通运输厅负责解释，自</w:t>
      </w:r>
      <w:r>
        <w:rPr>
          <w:rFonts w:hint="eastAsia" w:ascii="仿宋_GB2312" w:hAnsi="仿宋_GB2312" w:eastAsia="仿宋_GB2312" w:cs="仿宋_GB2312"/>
          <w:sz w:val="32"/>
          <w:szCs w:val="32"/>
          <w:lang w:val="en" w:eastAsia="zh-CN"/>
        </w:rPr>
        <w:t>印发之</w:t>
      </w:r>
      <w:r>
        <w:rPr>
          <w:rFonts w:hint="eastAsia" w:ascii="仿宋_GB2312" w:hAnsi="仿宋_GB2312" w:eastAsia="仿宋_GB2312" w:cs="仿宋_GB2312"/>
          <w:sz w:val="32"/>
          <w:szCs w:val="32"/>
        </w:rPr>
        <w:t>日起施行。</w:t>
      </w:r>
      <w:r>
        <w:rPr>
          <w:rFonts w:hint="eastAsia" w:ascii="仿宋_GB2312" w:hAnsi="仿宋_GB2312" w:eastAsia="仿宋_GB2312" w:cs="仿宋_GB2312"/>
          <w:sz w:val="32"/>
          <w:szCs w:val="32"/>
          <w:lang w:eastAsia="zh-CN"/>
        </w:rPr>
        <w:t>《内蒙古自治区交通运输厅关于印发自治区交通运输行政处罚裁量权适用规则的通知》（</w:t>
      </w:r>
      <w:r>
        <w:rPr>
          <w:rFonts w:hint="eastAsia" w:ascii="仿宋_GB2312" w:hAnsi="仿宋_GB2312" w:eastAsia="仿宋_GB2312" w:cs="仿宋_GB2312"/>
          <w:sz w:val="32"/>
          <w:szCs w:val="32"/>
          <w:lang w:val="en-US" w:eastAsia="zh-CN"/>
        </w:rPr>
        <w:t>内交发〔2020〕856号</w:t>
      </w:r>
      <w:r>
        <w:rPr>
          <w:rFonts w:hint="eastAsia" w:ascii="仿宋_GB2312" w:hAnsi="仿宋_GB2312" w:eastAsia="仿宋_GB2312" w:cs="仿宋_GB2312"/>
          <w:sz w:val="32"/>
          <w:szCs w:val="32"/>
          <w:lang w:eastAsia="zh-CN"/>
        </w:rPr>
        <w:t>）和《内蒙古自治区交通运输厅关于印发自治区交通运输行政处罚裁量权相关制度的通知》（内交发〔2018〕726号）同时废止。</w:t>
      </w:r>
    </w:p>
    <w:sectPr>
      <w:headerReference r:id="rId5" w:type="default"/>
      <w:footerReference r:id="rId7" w:type="default"/>
      <w:headerReference r:id="rId6" w:type="even"/>
      <w:footerReference r:id="rId8" w:type="even"/>
      <w:pgSz w:w="11906" w:h="16838"/>
      <w:pgMar w:top="1871" w:right="1417" w:bottom="1417" w:left="1417" w:header="0" w:footer="964" w:gutter="0"/>
      <w:pgNumType w:fmt="numberInDash"/>
      <w:cols w:space="425" w:num="1"/>
      <w:docGrid w:type="lines" w:linePitch="58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F04ED">
    <w:pPr>
      <w:pStyle w:val="6"/>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4F6D3B">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C4F6D3B">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FFD0B">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AD397">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24AD397">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01B27">
    <w:pPr>
      <w:pStyle w:val="7"/>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C3F49">
    <w:pPr>
      <w:pStyle w:val="7"/>
      <w:pBdr>
        <w:top w:val="none" w:color="auto" w:sz="0" w:space="0"/>
        <w:left w:val="none" w:color="auto" w:sz="0" w:space="0"/>
        <w:bottom w:val="none" w:color="auto" w:sz="0" w:space="1"/>
        <w:right w:val="none" w:color="auto" w:sz="0" w:space="0"/>
        <w:between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文印室:文印室打字套红">
    <w15:presenceInfo w15:providerId="None" w15:userId="文印室:文印室打字套红"/>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trackRevisions w:val="1"/>
  <w:documentProtection w:enforcement="0"/>
  <w:defaultTabStop w:val="420"/>
  <w:evenAndOddHeaders w:val="1"/>
  <w:drawingGridHorizontalSpacing w:val="160"/>
  <w:drawingGridVerticalSpacing w:val="587"/>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IxZGZkMDkzMzAyNGNmMGViN2U4YzJjOTQ4YTQyZWUifQ=="/>
  </w:docVars>
  <w:rsids>
    <w:rsidRoot w:val="00B33D69"/>
    <w:rsid w:val="00041F58"/>
    <w:rsid w:val="000C4BA1"/>
    <w:rsid w:val="00102BFC"/>
    <w:rsid w:val="001525DF"/>
    <w:rsid w:val="001A3124"/>
    <w:rsid w:val="002120CE"/>
    <w:rsid w:val="00257E0B"/>
    <w:rsid w:val="00261427"/>
    <w:rsid w:val="002777DD"/>
    <w:rsid w:val="00295567"/>
    <w:rsid w:val="003751A2"/>
    <w:rsid w:val="003A2FAD"/>
    <w:rsid w:val="003B2882"/>
    <w:rsid w:val="003B302D"/>
    <w:rsid w:val="003E69AE"/>
    <w:rsid w:val="004255FE"/>
    <w:rsid w:val="004469AB"/>
    <w:rsid w:val="00495EE8"/>
    <w:rsid w:val="004F127E"/>
    <w:rsid w:val="004F36CE"/>
    <w:rsid w:val="005406DF"/>
    <w:rsid w:val="00573839"/>
    <w:rsid w:val="00670AC8"/>
    <w:rsid w:val="0067241A"/>
    <w:rsid w:val="00695AA3"/>
    <w:rsid w:val="006B243E"/>
    <w:rsid w:val="006E01A2"/>
    <w:rsid w:val="006E2203"/>
    <w:rsid w:val="0071149F"/>
    <w:rsid w:val="00750240"/>
    <w:rsid w:val="0077137F"/>
    <w:rsid w:val="007756B3"/>
    <w:rsid w:val="00790A07"/>
    <w:rsid w:val="007C29E5"/>
    <w:rsid w:val="008318A6"/>
    <w:rsid w:val="008322CB"/>
    <w:rsid w:val="00841738"/>
    <w:rsid w:val="00876971"/>
    <w:rsid w:val="00942876"/>
    <w:rsid w:val="00964DDA"/>
    <w:rsid w:val="009C3D00"/>
    <w:rsid w:val="009E17DB"/>
    <w:rsid w:val="00A821D0"/>
    <w:rsid w:val="00A90532"/>
    <w:rsid w:val="00AA6F3C"/>
    <w:rsid w:val="00AB1917"/>
    <w:rsid w:val="00AB3965"/>
    <w:rsid w:val="00AC5105"/>
    <w:rsid w:val="00AD6420"/>
    <w:rsid w:val="00AF4F78"/>
    <w:rsid w:val="00B2059A"/>
    <w:rsid w:val="00B33D69"/>
    <w:rsid w:val="00B34B50"/>
    <w:rsid w:val="00BF5B86"/>
    <w:rsid w:val="00C2447A"/>
    <w:rsid w:val="00C26F34"/>
    <w:rsid w:val="00C45BE0"/>
    <w:rsid w:val="00C54603"/>
    <w:rsid w:val="00C71653"/>
    <w:rsid w:val="00C73A07"/>
    <w:rsid w:val="00C83BAA"/>
    <w:rsid w:val="00C93004"/>
    <w:rsid w:val="00CA52AE"/>
    <w:rsid w:val="00CA5991"/>
    <w:rsid w:val="00CD5833"/>
    <w:rsid w:val="00CE3268"/>
    <w:rsid w:val="00D433BB"/>
    <w:rsid w:val="00D856DC"/>
    <w:rsid w:val="00D927B8"/>
    <w:rsid w:val="00DF7437"/>
    <w:rsid w:val="00E04D93"/>
    <w:rsid w:val="00E053DC"/>
    <w:rsid w:val="00E25088"/>
    <w:rsid w:val="00E26F4E"/>
    <w:rsid w:val="00E42314"/>
    <w:rsid w:val="00E864C2"/>
    <w:rsid w:val="00E87D4E"/>
    <w:rsid w:val="00EB608D"/>
    <w:rsid w:val="00F21D49"/>
    <w:rsid w:val="00F54ECC"/>
    <w:rsid w:val="00F649F7"/>
    <w:rsid w:val="00FD5183"/>
    <w:rsid w:val="00FD7607"/>
    <w:rsid w:val="04294F27"/>
    <w:rsid w:val="05257DE5"/>
    <w:rsid w:val="05CD3FD8"/>
    <w:rsid w:val="071C5C9C"/>
    <w:rsid w:val="0FEE02A4"/>
    <w:rsid w:val="10974CA0"/>
    <w:rsid w:val="177454D0"/>
    <w:rsid w:val="1B5E2429"/>
    <w:rsid w:val="1B7E99F4"/>
    <w:rsid w:val="1BBEE79F"/>
    <w:rsid w:val="1BF9878C"/>
    <w:rsid w:val="1EF6561C"/>
    <w:rsid w:val="1F3D8176"/>
    <w:rsid w:val="1F5B7EF1"/>
    <w:rsid w:val="1FDD2AA5"/>
    <w:rsid w:val="1FE551D6"/>
    <w:rsid w:val="20A91B40"/>
    <w:rsid w:val="25DFB496"/>
    <w:rsid w:val="2D8A262B"/>
    <w:rsid w:val="2DDFC9BB"/>
    <w:rsid w:val="2ED753FC"/>
    <w:rsid w:val="2FEF1424"/>
    <w:rsid w:val="3278059B"/>
    <w:rsid w:val="36D93770"/>
    <w:rsid w:val="377A7668"/>
    <w:rsid w:val="377E953B"/>
    <w:rsid w:val="37FBE397"/>
    <w:rsid w:val="39BD11EE"/>
    <w:rsid w:val="3B699C07"/>
    <w:rsid w:val="3BE1779F"/>
    <w:rsid w:val="3BF73C6C"/>
    <w:rsid w:val="3BFDC96D"/>
    <w:rsid w:val="3DEDA62D"/>
    <w:rsid w:val="3DFE23ED"/>
    <w:rsid w:val="3E202E9D"/>
    <w:rsid w:val="3E5F4F12"/>
    <w:rsid w:val="3EE2E874"/>
    <w:rsid w:val="3FA7E518"/>
    <w:rsid w:val="3FFBD1E0"/>
    <w:rsid w:val="3FFF061F"/>
    <w:rsid w:val="3FFFBEC1"/>
    <w:rsid w:val="406840FB"/>
    <w:rsid w:val="489E6EBE"/>
    <w:rsid w:val="49EF3B5B"/>
    <w:rsid w:val="4AE47CCB"/>
    <w:rsid w:val="4FEF340C"/>
    <w:rsid w:val="4FFFB47F"/>
    <w:rsid w:val="546606EA"/>
    <w:rsid w:val="555BF01D"/>
    <w:rsid w:val="57153BF0"/>
    <w:rsid w:val="575FB7A0"/>
    <w:rsid w:val="579F33A2"/>
    <w:rsid w:val="59960E9C"/>
    <w:rsid w:val="5A740F10"/>
    <w:rsid w:val="5CE7056E"/>
    <w:rsid w:val="5D7843A7"/>
    <w:rsid w:val="5DAF2D56"/>
    <w:rsid w:val="5DBC8F80"/>
    <w:rsid w:val="5E5758E8"/>
    <w:rsid w:val="5EAA0DD3"/>
    <w:rsid w:val="5EE55FB5"/>
    <w:rsid w:val="5F557AF4"/>
    <w:rsid w:val="5F7D1F37"/>
    <w:rsid w:val="5FB34266"/>
    <w:rsid w:val="5FDBB556"/>
    <w:rsid w:val="5FFEAC9E"/>
    <w:rsid w:val="5FFF9A13"/>
    <w:rsid w:val="5FFFE6F1"/>
    <w:rsid w:val="66FD8290"/>
    <w:rsid w:val="67DD1F4E"/>
    <w:rsid w:val="67FBD75A"/>
    <w:rsid w:val="68DD4AB0"/>
    <w:rsid w:val="6AF06495"/>
    <w:rsid w:val="6B2A0AB9"/>
    <w:rsid w:val="6B3EA792"/>
    <w:rsid w:val="6CEF2636"/>
    <w:rsid w:val="6CF83709"/>
    <w:rsid w:val="6D7E7245"/>
    <w:rsid w:val="6DA792D4"/>
    <w:rsid w:val="6DBF5D22"/>
    <w:rsid w:val="6DFB8042"/>
    <w:rsid w:val="6DFF65C2"/>
    <w:rsid w:val="6EB1534F"/>
    <w:rsid w:val="6FA01DCB"/>
    <w:rsid w:val="6FE32E43"/>
    <w:rsid w:val="6FE647CE"/>
    <w:rsid w:val="6FECE3C7"/>
    <w:rsid w:val="6FFD5A95"/>
    <w:rsid w:val="6FFF4BB2"/>
    <w:rsid w:val="70FF9B17"/>
    <w:rsid w:val="710B61A7"/>
    <w:rsid w:val="74E5CA6B"/>
    <w:rsid w:val="755F0684"/>
    <w:rsid w:val="763B5F7B"/>
    <w:rsid w:val="76CC0B8C"/>
    <w:rsid w:val="76EEBA99"/>
    <w:rsid w:val="7772B0DB"/>
    <w:rsid w:val="777CD28D"/>
    <w:rsid w:val="77AD014E"/>
    <w:rsid w:val="77BF55E9"/>
    <w:rsid w:val="77EFF293"/>
    <w:rsid w:val="77F7F3DF"/>
    <w:rsid w:val="77FA6212"/>
    <w:rsid w:val="7A66F37B"/>
    <w:rsid w:val="7AEE2EED"/>
    <w:rsid w:val="7B7F6C23"/>
    <w:rsid w:val="7B9FED1C"/>
    <w:rsid w:val="7BE4F70A"/>
    <w:rsid w:val="7BFEE227"/>
    <w:rsid w:val="7CFBE3DB"/>
    <w:rsid w:val="7DD77AB6"/>
    <w:rsid w:val="7DFD75EE"/>
    <w:rsid w:val="7E47F462"/>
    <w:rsid w:val="7E7F7069"/>
    <w:rsid w:val="7EFBD80B"/>
    <w:rsid w:val="7EFBE87F"/>
    <w:rsid w:val="7F7E0391"/>
    <w:rsid w:val="7FB71EFB"/>
    <w:rsid w:val="7FE4A7BE"/>
    <w:rsid w:val="7FEB3A95"/>
    <w:rsid w:val="7FECAF7C"/>
    <w:rsid w:val="7FF66F78"/>
    <w:rsid w:val="7FF7AB1B"/>
    <w:rsid w:val="7FFF7755"/>
    <w:rsid w:val="7FFFF702"/>
    <w:rsid w:val="93E3021B"/>
    <w:rsid w:val="9BFFCEC1"/>
    <w:rsid w:val="9F338A43"/>
    <w:rsid w:val="9F5F75CD"/>
    <w:rsid w:val="A5EFA5A8"/>
    <w:rsid w:val="A7DF3396"/>
    <w:rsid w:val="ABBDEE55"/>
    <w:rsid w:val="ADFFE0F7"/>
    <w:rsid w:val="AEFE4594"/>
    <w:rsid w:val="B1EE8A40"/>
    <w:rsid w:val="B7754864"/>
    <w:rsid w:val="B7F5439A"/>
    <w:rsid w:val="B822C8F3"/>
    <w:rsid w:val="B9DE4B2B"/>
    <w:rsid w:val="B9EA0557"/>
    <w:rsid w:val="BBF25311"/>
    <w:rsid w:val="BCF7516B"/>
    <w:rsid w:val="BD7F3350"/>
    <w:rsid w:val="BDEF15FD"/>
    <w:rsid w:val="BEEE5407"/>
    <w:rsid w:val="BFBFDE44"/>
    <w:rsid w:val="C997EAFD"/>
    <w:rsid w:val="CB3ACACE"/>
    <w:rsid w:val="CEA31872"/>
    <w:rsid w:val="CFF956D8"/>
    <w:rsid w:val="D7F718B3"/>
    <w:rsid w:val="D7F73D31"/>
    <w:rsid w:val="D7FC8A17"/>
    <w:rsid w:val="DA7275F8"/>
    <w:rsid w:val="DD971A07"/>
    <w:rsid w:val="DDEE7233"/>
    <w:rsid w:val="DEF72C5E"/>
    <w:rsid w:val="DF752C95"/>
    <w:rsid w:val="DFDAE292"/>
    <w:rsid w:val="DFDF6536"/>
    <w:rsid w:val="DFFF8FF2"/>
    <w:rsid w:val="E25BCD5F"/>
    <w:rsid w:val="E46340BF"/>
    <w:rsid w:val="E4FF2675"/>
    <w:rsid w:val="E5FA6725"/>
    <w:rsid w:val="E75B0D59"/>
    <w:rsid w:val="EBD7FD09"/>
    <w:rsid w:val="EBDF6AB9"/>
    <w:rsid w:val="ED6F4256"/>
    <w:rsid w:val="EDE80E50"/>
    <w:rsid w:val="EF5E0E63"/>
    <w:rsid w:val="EF7FDFE9"/>
    <w:rsid w:val="EFFEC5EA"/>
    <w:rsid w:val="EFFF5768"/>
    <w:rsid w:val="F1DBB2D9"/>
    <w:rsid w:val="F1FEF98E"/>
    <w:rsid w:val="F3BE43E2"/>
    <w:rsid w:val="F3F29BBA"/>
    <w:rsid w:val="F3FFF7D1"/>
    <w:rsid w:val="F6BF5FF9"/>
    <w:rsid w:val="F6ECF587"/>
    <w:rsid w:val="F7BBFB6E"/>
    <w:rsid w:val="F7BFA8DF"/>
    <w:rsid w:val="F7DF559C"/>
    <w:rsid w:val="F7ED87EC"/>
    <w:rsid w:val="F7EDC45C"/>
    <w:rsid w:val="F7EEBAF4"/>
    <w:rsid w:val="F7FB3BFF"/>
    <w:rsid w:val="F7FF123A"/>
    <w:rsid w:val="F87F42EF"/>
    <w:rsid w:val="F9D95426"/>
    <w:rsid w:val="FB9F3444"/>
    <w:rsid w:val="FBAD6644"/>
    <w:rsid w:val="FBBB9FC5"/>
    <w:rsid w:val="FBBDC18D"/>
    <w:rsid w:val="FBF72974"/>
    <w:rsid w:val="FC9DE88F"/>
    <w:rsid w:val="FDB510F7"/>
    <w:rsid w:val="FDC774CF"/>
    <w:rsid w:val="FDEBA7DA"/>
    <w:rsid w:val="FE734339"/>
    <w:rsid w:val="FE7D71B2"/>
    <w:rsid w:val="FE7F638E"/>
    <w:rsid w:val="FEA7D905"/>
    <w:rsid w:val="FEFEBCDD"/>
    <w:rsid w:val="FF15F9B7"/>
    <w:rsid w:val="FF57B102"/>
    <w:rsid w:val="FF9EC4FA"/>
    <w:rsid w:val="FFB5EAD5"/>
    <w:rsid w:val="FFBE5FCE"/>
    <w:rsid w:val="FFD7892F"/>
    <w:rsid w:val="FFDE8F63"/>
    <w:rsid w:val="FFFE03F7"/>
    <w:rsid w:val="FFFF6037"/>
    <w:rsid w:val="FFFF7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80" w:lineRule="exact"/>
    </w:pPr>
    <w:rPr>
      <w:rFonts w:eastAsia="仿宋" w:asciiTheme="minorHAnsi" w:hAnsiTheme="minorHAnsi" w:cstheme="minorBidi"/>
      <w:kern w:val="2"/>
      <w:sz w:val="32"/>
      <w:szCs w:val="22"/>
      <w:lang w:val="en-US" w:eastAsia="zh-CN" w:bidi="ar-SA"/>
    </w:rPr>
  </w:style>
  <w:style w:type="paragraph" w:styleId="2">
    <w:name w:val="heading 2"/>
    <w:basedOn w:val="1"/>
    <w:next w:val="1"/>
    <w:semiHidden/>
    <w:unhideWhenUsed/>
    <w:qFormat/>
    <w:uiPriority w:val="9"/>
    <w:pPr>
      <w:keepNext/>
      <w:keepLines/>
      <w:spacing w:before="260" w:after="260" w:line="413" w:lineRule="auto"/>
      <w:outlineLvl w:val="1"/>
    </w:pPr>
    <w:rPr>
      <w:rFonts w:ascii="Arial" w:hAnsi="Arial" w:eastAsia="黑体"/>
      <w:b/>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spacing w:line="240" w:lineRule="auto"/>
      <w:ind w:firstLine="420"/>
      <w:textAlignment w:val="auto"/>
    </w:pPr>
    <w:rPr>
      <w:kern w:val="2"/>
    </w:rPr>
  </w:style>
  <w:style w:type="paragraph" w:styleId="4">
    <w:name w:val="annotation text"/>
    <w:basedOn w:val="1"/>
    <w:link w:val="17"/>
    <w:semiHidden/>
    <w:unhideWhenUsed/>
    <w:qFormat/>
    <w:uiPriority w:val="99"/>
  </w:style>
  <w:style w:type="paragraph" w:styleId="5">
    <w:name w:val="Balloon Text"/>
    <w:basedOn w:val="1"/>
    <w:link w:val="16"/>
    <w:semiHidden/>
    <w:unhideWhenUsed/>
    <w:qFormat/>
    <w:uiPriority w:val="99"/>
    <w:pPr>
      <w:spacing w:line="240" w:lineRule="auto"/>
    </w:pPr>
    <w:rPr>
      <w:sz w:val="18"/>
      <w:szCs w:val="18"/>
    </w:rPr>
  </w:style>
  <w:style w:type="paragraph" w:styleId="6">
    <w:name w:val="footer"/>
    <w:basedOn w:val="1"/>
    <w:link w:val="14"/>
    <w:unhideWhenUsed/>
    <w:qFormat/>
    <w:uiPriority w:val="99"/>
    <w:pPr>
      <w:widowControl w:val="0"/>
      <w:tabs>
        <w:tab w:val="center" w:pos="4153"/>
        <w:tab w:val="right" w:pos="8306"/>
      </w:tabs>
      <w:snapToGrid w:val="0"/>
      <w:spacing w:line="240" w:lineRule="auto"/>
    </w:pPr>
    <w:rPr>
      <w:rFonts w:eastAsiaTheme="minorEastAsia"/>
      <w:sz w:val="18"/>
      <w:szCs w:val="18"/>
    </w:rPr>
  </w:style>
  <w:style w:type="paragraph" w:styleId="7">
    <w:name w:val="header"/>
    <w:basedOn w:val="1"/>
    <w:link w:val="13"/>
    <w:unhideWhenUsed/>
    <w:qFormat/>
    <w:uiPriority w:val="99"/>
    <w:pPr>
      <w:widowControl w:val="0"/>
      <w:pBdr>
        <w:bottom w:val="single" w:color="auto" w:sz="6" w:space="1"/>
      </w:pBdr>
      <w:tabs>
        <w:tab w:val="center" w:pos="4153"/>
        <w:tab w:val="right" w:pos="8306"/>
      </w:tabs>
      <w:snapToGrid w:val="0"/>
      <w:spacing w:line="240" w:lineRule="auto"/>
      <w:jc w:val="center"/>
    </w:pPr>
    <w:rPr>
      <w:rFonts w:eastAsiaTheme="minorEastAsia"/>
      <w:sz w:val="18"/>
      <w:szCs w:val="18"/>
    </w:rPr>
  </w:style>
  <w:style w:type="paragraph" w:styleId="8">
    <w:name w:val="Normal (Web)"/>
    <w:basedOn w:val="1"/>
    <w:semiHidden/>
    <w:unhideWhenUsed/>
    <w:qFormat/>
    <w:uiPriority w:val="99"/>
    <w:pPr>
      <w:spacing w:before="100" w:beforeAutospacing="1" w:after="100" w:afterAutospacing="1" w:line="240" w:lineRule="auto"/>
    </w:pPr>
    <w:rPr>
      <w:rFonts w:ascii="宋体" w:hAnsi="宋体" w:eastAsia="宋体" w:cs="宋体"/>
      <w:kern w:val="0"/>
      <w:sz w:val="24"/>
      <w:szCs w:val="24"/>
    </w:rPr>
  </w:style>
  <w:style w:type="paragraph" w:styleId="9">
    <w:name w:val="annotation subject"/>
    <w:basedOn w:val="4"/>
    <w:next w:val="4"/>
    <w:link w:val="18"/>
    <w:semiHidden/>
    <w:unhideWhenUsed/>
    <w:qFormat/>
    <w:uiPriority w:val="99"/>
    <w:rPr>
      <w:b/>
      <w:bCs/>
    </w:r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批注框文本 字符"/>
    <w:basedOn w:val="11"/>
    <w:link w:val="5"/>
    <w:semiHidden/>
    <w:qFormat/>
    <w:uiPriority w:val="99"/>
    <w:rPr>
      <w:rFonts w:eastAsia="仿宋"/>
      <w:sz w:val="18"/>
      <w:szCs w:val="18"/>
    </w:rPr>
  </w:style>
  <w:style w:type="character" w:customStyle="1" w:styleId="17">
    <w:name w:val="批注文字 字符"/>
    <w:basedOn w:val="11"/>
    <w:link w:val="4"/>
    <w:semiHidden/>
    <w:qFormat/>
    <w:uiPriority w:val="99"/>
    <w:rPr>
      <w:rFonts w:eastAsia="仿宋" w:asciiTheme="minorHAnsi" w:hAnsiTheme="minorHAnsi" w:cstheme="minorBidi"/>
      <w:kern w:val="2"/>
      <w:sz w:val="32"/>
      <w:szCs w:val="22"/>
    </w:rPr>
  </w:style>
  <w:style w:type="character" w:customStyle="1" w:styleId="18">
    <w:name w:val="批注主题 字符"/>
    <w:basedOn w:val="17"/>
    <w:link w:val="9"/>
    <w:semiHidden/>
    <w:qFormat/>
    <w:uiPriority w:val="99"/>
    <w:rPr>
      <w:rFonts w:eastAsia="仿宋" w:asciiTheme="minorHAnsi" w:hAnsiTheme="minorHAnsi" w:cstheme="minorBidi"/>
      <w:b/>
      <w:bCs/>
      <w:kern w:val="2"/>
      <w:sz w:val="3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神州网信技术有限公司</Company>
  <Pages>8</Pages>
  <Words>3323</Words>
  <Characters>3352</Characters>
  <Lines>25</Lines>
  <Paragraphs>7</Paragraphs>
  <TotalTime>22</TotalTime>
  <ScaleCrop>false</ScaleCrop>
  <LinksUpToDate>false</LinksUpToDate>
  <CharactersWithSpaces>3415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2023-08-29T00:27:00Z</dcterms:created>
  <dc:creator>孟庆虎(孟庆虎:)</dc:creator>
  <cp:lastModifiedBy>一只高傲的小狼</cp:lastModifiedBy>
  <cp:lastPrinted>2024-10-12T22:14:00Z</cp:lastPrinted>
  <dcterms:modified xsi:type="dcterms:W3CDTF">2025-07-23T06:48:20Z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61A536D46A5B42CA8C0544CD024EA172_13</vt:lpwstr>
  </property>
</Properties>
</file>